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Instituto de Ciências Médicas Canaã</w:t>
      </w:r>
    </w:p>
    <w:p>
      <w:pPr>
        <w:pStyle w:val="Title"/>
      </w:pPr>
      <w:r>
        <w:t>Planejamento do atendimento hospitalar</w:t>
      </w:r>
    </w:p>
    <w:p>
      <w:pPr>
        <w:pStyle w:val="Subtitle"/>
      </w:pPr>
      <w:r>
        <w:t>40 condições prioritárias para internação adulta de urgência</w:t>
      </w:r>
    </w:p>
    <w:p>
      <w:pPr>
        <w:pStyle w:val="Subtitle"/>
      </w:pPr>
      <w:r>
        <w:t>Pesquisa epidemiológica e matriz inicial de protocolos</w:t>
      </w:r>
    </w:p>
    <w:p>
      <w:r>
        <w:t>4 de novembro de 2026 | Versão 02</w:t>
      </w:r>
    </w:p>
    <w:p>
      <w:r>
        <w:t>O Hospital Canaã pode organizar sua retaguarda em 28 linhas predominantemente clínicas e 12 linhas de avaliação cirúrgica. O atendimento deve começar no pronto-socorro, com investigação dirigida, tratamento precoce e definição do recurso necessário, integrando enfermaria, centro cirúrgico e UTI.</w:t>
      </w:r>
    </w:p>
    <w:p>
      <w:r>
        <w:t>A carteira reúne frequência sugerida pelas evidências, risco de atraso e compatibilidade com o projeto. A numeração identifica protocolos por sistema e não representa uma ordem estatística de incidência das unidades de origem.</w:t>
      </w:r>
    </w:p>
    <w:p>
      <w:r>
        <w:t>A meta Ouro é concluir a avaliação inicial e documentar uma conduta segura em até 24 horas. Prata corresponde a mais de 24 até 48 horas, e Bronze a mais de 48 até 72 horas. Emergências têm prazos próprios em minutos ou poucas horas, anteriores a essas metas.</w:t>
      </w:r>
    </w:p>
    <w:p>
      <w:r>
        <w:t>Planejamento para validação assistencial e institucional.</w:t>
      </w:r>
    </w:p>
    <w:p>
      <w:r>
        <w:t>Exames, esquemas terapêuticos, critérios de aceite e capacidade de execução precisam ser formalizados antes da implantação. O prazo de 72 horas organiza reavaliações e escalonamento; não garante etiologia definitiva nem impõe alta.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816"/>
        <w:gridCol w:w="6178"/>
      </w:tblGrid>
      <w:tr>
        <w:trPr>
          <w:tblHeader/>
          <w:cantSplit/>
        </w:trPr>
        <w:tc>
          <w:tcPr>
            <w:tcW w:type="dxa" w:w="381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Recurso do projeto</w:t>
            </w:r>
          </w:p>
        </w:tc>
        <w:tc>
          <w:tcPr>
            <w:tcW w:type="dxa" w:w="617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Capacidade planejada</w:t>
            </w:r>
          </w:p>
        </w:tc>
      </w:tr>
      <w:tr>
        <w:trPr>
          <w:cantSplit/>
        </w:trPr>
        <w:tc>
          <w:tcPr>
            <w:tcW w:type="dxa" w:w="381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Enfermaria clínica</w:t>
            </w:r>
          </w:p>
        </w:tc>
        <w:tc>
          <w:tcPr>
            <w:tcW w:type="dxa" w:w="617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57 leitos</w:t>
            </w:r>
          </w:p>
        </w:tc>
      </w:tr>
      <w:tr>
        <w:trPr>
          <w:cantSplit/>
        </w:trPr>
        <w:tc>
          <w:tcPr>
            <w:tcW w:type="dxa" w:w="381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Enfermaria cirúrgica</w:t>
            </w:r>
          </w:p>
        </w:tc>
        <w:tc>
          <w:tcPr>
            <w:tcW w:type="dxa" w:w="617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35 leitos</w:t>
            </w:r>
          </w:p>
        </w:tc>
      </w:tr>
      <w:tr>
        <w:trPr>
          <w:cantSplit/>
        </w:trPr>
        <w:tc>
          <w:tcPr>
            <w:tcW w:type="dxa" w:w="381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UTI adulto</w:t>
            </w:r>
          </w:p>
        </w:tc>
        <w:tc>
          <w:tcPr>
            <w:tcW w:type="dxa" w:w="617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30 leitos em três unidades de 10</w:t>
            </w:r>
          </w:p>
        </w:tc>
      </w:tr>
      <w:tr>
        <w:trPr>
          <w:cantSplit/>
        </w:trPr>
        <w:tc>
          <w:tcPr>
            <w:tcW w:type="dxa" w:w="381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Centro cirúrgico</w:t>
            </w:r>
          </w:p>
        </w:tc>
        <w:tc>
          <w:tcPr>
            <w:tcW w:type="dxa" w:w="617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5 salas no site examinado</w:t>
            </w:r>
          </w:p>
        </w:tc>
      </w:tr>
      <w:tr>
        <w:trPr>
          <w:cantSplit/>
        </w:trPr>
        <w:tc>
          <w:tcPr>
            <w:tcW w:type="dxa" w:w="381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Pronto-socorro</w:t>
            </w:r>
          </w:p>
        </w:tc>
        <w:tc>
          <w:tcPr>
            <w:tcW w:type="dxa" w:w="617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2 consultórios, 6 posições de observação e 2 de ressuscitação</w:t>
            </w:r>
          </w:p>
        </w:tc>
      </w:tr>
    </w:tbl>
    <w:p>
      <w:r/>
    </w:p>
    <w:p>
      <w:r>
        <w:t>Fonte do projeto R01. Capacidade planejada não equivale a capacidade operacional habilitada.</w:t>
      </w:r>
    </w:p>
    <w:p>
      <w:bookmarkStart w:id="1" w:name="sumario"/>
      <w:pPr>
        <w:pStyle w:val="Heading1"/>
        <w:pageBreakBefore/>
      </w:pPr>
      <w:r>
        <w:t>Sumário e leitura do caderno</w:t>
      </w:r>
      <w:bookmarkEnd w:id="1"/>
    </w:p>
    <w:p>
      <w:r/>
      <w:hyperlink w:anchor="territorio">
        <w:r>
          <w:rPr>
            <w:color w:val="164E70"/>
          </w:rPr>
          <w:t>Território e unidades de origem</w:t>
        </w:r>
      </w:hyperlink>
    </w:p>
    <w:p>
      <w:r/>
      <w:hyperlink w:anchor="evidencia">
        <w:r>
          <w:rPr>
            <w:color w:val="164E70"/>
          </w:rPr>
          <w:t>Evidência e seleção das condições</w:t>
        </w:r>
      </w:hyperlink>
    </w:p>
    <w:p>
      <w:r/>
      <w:hyperlink w:anchor="cardio">
        <w:r>
          <w:rPr>
            <w:color w:val="164E70"/>
          </w:rPr>
          <w:t>Protocolos cardiovasculares</w:t>
        </w:r>
      </w:hyperlink>
    </w:p>
    <w:p>
      <w:r/>
      <w:hyperlink w:anchor="resp">
        <w:r>
          <w:rPr>
            <w:color w:val="164E70"/>
          </w:rPr>
          <w:t>Protocolos respiratórios</w:t>
        </w:r>
      </w:hyperlink>
    </w:p>
    <w:p>
      <w:r/>
      <w:hyperlink w:anchor="neuro">
        <w:r>
          <w:rPr>
            <w:color w:val="164E70"/>
          </w:rPr>
          <w:t>Protocolos neurológicos</w:t>
        </w:r>
      </w:hyperlink>
    </w:p>
    <w:p>
      <w:r/>
      <w:hyperlink w:anchor="infec">
        <w:r>
          <w:rPr>
            <w:color w:val="164E70"/>
          </w:rPr>
          <w:t>Protocolos de infecção</w:t>
        </w:r>
      </w:hyperlink>
    </w:p>
    <w:p>
      <w:r/>
      <w:hyperlink w:anchor="renal">
        <w:r>
          <w:rPr>
            <w:color w:val="164E70"/>
          </w:rPr>
          <w:t>Protocolos renais e metabólicos</w:t>
        </w:r>
      </w:hyperlink>
    </w:p>
    <w:p>
      <w:r/>
      <w:hyperlink w:anchor="digest">
        <w:r>
          <w:rPr>
            <w:color w:val="164E70"/>
          </w:rPr>
          <w:t>Protocolos digestivos e hematológicos</w:t>
        </w:r>
      </w:hyperlink>
    </w:p>
    <w:p>
      <w:r/>
      <w:hyperlink w:anchor="cir1">
        <w:r>
          <w:rPr>
            <w:color w:val="164E70"/>
          </w:rPr>
          <w:t>Protocolos cirúrgicos de 29 a 32</w:t>
        </w:r>
      </w:hyperlink>
    </w:p>
    <w:p>
      <w:r/>
      <w:hyperlink w:anchor="cir2">
        <w:r>
          <w:rPr>
            <w:color w:val="164E70"/>
          </w:rPr>
          <w:t>Protocolos cirúrgicos de 33 a 36</w:t>
        </w:r>
      </w:hyperlink>
    </w:p>
    <w:p>
      <w:r/>
      <w:hyperlink w:anchor="cir3">
        <w:r>
          <w:rPr>
            <w:color w:val="164E70"/>
          </w:rPr>
          <w:t>Protocolos cirúrgicos de 37 a 40</w:t>
        </w:r>
      </w:hyperlink>
    </w:p>
    <w:p>
      <w:r/>
      <w:hyperlink w:anchor="tempos">
        <w:r>
          <w:rPr>
            <w:color w:val="164E70"/>
          </w:rPr>
          <w:t>Marcos das primeiras 72 horas</w:t>
        </w:r>
      </w:hyperlink>
    </w:p>
    <w:p>
      <w:r/>
      <w:hyperlink w:anchor="indicadores">
        <w:r>
          <w:rPr>
            <w:color w:val="164E70"/>
          </w:rPr>
          <w:t>Indicadores e critérios de classificação</w:t>
        </w:r>
      </w:hyperlink>
    </w:p>
    <w:p>
      <w:r/>
      <w:hyperlink w:anchor="dados">
        <w:r>
          <w:rPr>
            <w:color w:val="164E70"/>
          </w:rPr>
          <w:t>Dados para o ranking local e implantação</w:t>
        </w:r>
      </w:hyperlink>
    </w:p>
    <w:p>
      <w:r/>
      <w:hyperlink w:anchor="refs">
        <w:r>
          <w:rPr>
            <w:color w:val="164E70"/>
          </w:rPr>
          <w:t>Referências</w:t>
        </w:r>
      </w:hyperlink>
    </w:p>
    <w:p>
      <w:pPr>
        <w:pStyle w:val="Heading2"/>
      </w:pPr>
      <w:r>
        <w:t>Como usar a matriz</w:t>
      </w:r>
    </w:p>
    <w:p>
      <w:r>
        <w:t>Cada ficha apresenta a condição, a razão para internação, exemplos de exames dirigidos, a equipe de referência e a decisão que não pode atrasar. As listas de exames dependem da hipótese clínica, gravidade, contraindicações e resultados já realizados na origem.</w:t>
      </w:r>
    </w:p>
    <w:p>
      <w:r>
        <w:t>A UTI é um nível de cuidado. Pneumonia com sepse e ventilação mecânica pode ativar vários protocolos no mesmo episódio, mas corresponde a uma internação. Para dimensionar demanda, registrar um diagnóstico principal e manter síndromes e procedimentos associados em campos separados.</w:t>
      </w:r>
    </w:p>
    <w:p>
      <w:r>
        <w:t>Clínica Médica conduz a internação clínica com interconsultas. Nos casos cirúrgicos, o cirurgião nominal mantém a titularidade e a responsabilidade pela alta; o hospitalista participa da avaliação diária e prescrição integrada conforme atribuições formalizadas no projeto R01.</w:t>
      </w:r>
    </w:p>
    <w:p>
      <w:r>
        <w:t>O escopo é adulto, definido para a futura análise como idade igual ou superior a 18 anos. Dados agregados de todas as idades, leitos pediátricos, obstetrícia e atendimento eletivo não devem ser apresentados como demanda adulta de urgência.</w:t>
      </w:r>
    </w:p>
    <w:p>
      <w:bookmarkStart w:id="2" w:name="territorio"/>
      <w:pPr>
        <w:pStyle w:val="Heading1"/>
        <w:pageBreakBefore/>
      </w:pPr>
      <w:r>
        <w:t>Território e unidades de origem</w:t>
      </w:r>
      <w:bookmarkEnd w:id="2"/>
    </w:p>
    <w:p>
      <w:r>
        <w:t>A seção Área de Saúde do site apresenta seis serviços de origem e o próprio hospital: quatro UPAs, uma AMA 24h e um pronto-socorro. A inclusão no mapa é uma proposta territorial, sujeita à regulação e pactuação; não estabelece encaminhamento automático. R01.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952"/>
        <w:gridCol w:w="1296"/>
        <w:gridCol w:w="5746"/>
      </w:tblGrid>
      <w:tr>
        <w:trPr>
          <w:tblHeader/>
          <w:cantSplit/>
        </w:trPr>
        <w:tc>
          <w:tcPr>
            <w:tcW w:type="dxa" w:w="29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  <w:jc w:val="center"/>
            </w:pPr>
            <w:r>
              <w:rPr>
                <w:b/>
                <w:color w:val="FFFFFF"/>
                <w:sz w:val="20"/>
              </w:rPr>
              <w:t>Unidade</w:t>
            </w:r>
          </w:p>
        </w:tc>
        <w:tc>
          <w:tcPr>
            <w:tcW w:type="dxa" w:w="129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Perfil</w:t>
            </w:r>
          </w:p>
        </w:tc>
        <w:tc>
          <w:tcPr>
            <w:tcW w:type="dxa" w:w="574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Volume mensal divulgado e data</w:t>
            </w:r>
          </w:p>
        </w:tc>
      </w:tr>
      <w:tr>
        <w:trPr>
          <w:cantSplit/>
        </w:trPr>
        <w:tc>
          <w:tcPr>
            <w:tcW w:type="dxa" w:w="29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Vergueiro</w:t>
            </w:r>
          </w:p>
        </w:tc>
        <w:tc>
          <w:tcPr>
            <w:tcW w:type="dxa" w:w="129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UPA III</w:t>
            </w:r>
          </w:p>
        </w:tc>
        <w:tc>
          <w:tcPr>
            <w:tcW w:type="dxa" w:w="574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15.000 atendimentos; capacidade na caracterização de fevereiro de 2026. R03</w:t>
            </w:r>
          </w:p>
        </w:tc>
      </w:tr>
      <w:tr>
        <w:trPr>
          <w:cantSplit/>
        </w:trPr>
        <w:tc>
          <w:tcPr>
            <w:tcW w:type="dxa" w:w="29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Sé</w:t>
            </w:r>
          </w:p>
        </w:tc>
        <w:tc>
          <w:tcPr>
            <w:tcW w:type="dxa" w:w="129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AMA 24h</w:t>
            </w:r>
          </w:p>
        </w:tc>
        <w:tc>
          <w:tcPr>
            <w:tcW w:type="dxa" w:w="574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Até 10.000 atendimentos; caracterização de fevereiro de 2026. R03</w:t>
            </w:r>
          </w:p>
        </w:tc>
      </w:tr>
      <w:tr>
        <w:trPr>
          <w:cantSplit/>
        </w:trPr>
        <w:tc>
          <w:tcPr>
            <w:tcW w:type="dxa" w:w="29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Barra Funda Dr Álvaro Dino de Almeida</w:t>
            </w:r>
          </w:p>
        </w:tc>
        <w:tc>
          <w:tcPr>
            <w:tcW w:type="dxa" w:w="129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Pronto-socorro</w:t>
            </w:r>
          </w:p>
        </w:tc>
        <w:tc>
          <w:tcPr>
            <w:tcW w:type="dxa" w:w="574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9.000 atendimentos médicos; capacidade de fevereiro de 2026. R03</w:t>
            </w:r>
          </w:p>
        </w:tc>
      </w:tr>
      <w:tr>
        <w:trPr>
          <w:cantSplit/>
        </w:trPr>
        <w:tc>
          <w:tcPr>
            <w:tcW w:type="dxa" w:w="29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Vila Mariana</w:t>
            </w:r>
          </w:p>
        </w:tc>
        <w:tc>
          <w:tcPr>
            <w:tcW w:type="dxa" w:w="129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UPA</w:t>
            </w:r>
          </w:p>
        </w:tc>
        <w:tc>
          <w:tcPr>
            <w:tcW w:type="dxa" w:w="574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18.000 atendimentos; capacidade anunciada em agosto de 2021. R04</w:t>
            </w:r>
          </w:p>
        </w:tc>
      </w:tr>
      <w:tr>
        <w:trPr>
          <w:cantSplit/>
        </w:trPr>
        <w:tc>
          <w:tcPr>
            <w:tcW w:type="dxa" w:w="29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Mooca Dom Paulo Evaristo Arns</w:t>
            </w:r>
          </w:p>
        </w:tc>
        <w:tc>
          <w:tcPr>
            <w:tcW w:type="dxa" w:w="129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UPA III</w:t>
            </w:r>
          </w:p>
        </w:tc>
        <w:tc>
          <w:tcPr>
            <w:tcW w:type="dxa" w:w="574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Cerca de 11.000 atendimentos; capacidade na notícia da SMS de setembro de 2021. R05</w:t>
            </w:r>
          </w:p>
        </w:tc>
      </w:tr>
      <w:tr>
        <w:trPr>
          <w:cantSplit/>
        </w:trPr>
        <w:tc>
          <w:tcPr>
            <w:tcW w:type="dxa" w:w="2952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Lapa Professor João Catarin Mezomo</w:t>
            </w:r>
          </w:p>
        </w:tc>
        <w:tc>
          <w:tcPr>
            <w:tcW w:type="dxa" w:w="129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UPA III</w:t>
            </w:r>
          </w:p>
        </w:tc>
        <w:tc>
          <w:tcPr>
            <w:tcW w:type="dxa" w:w="574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14.000 atendimentos; capacidade anunciada em janeiro de 2025. R06</w:t>
            </w:r>
          </w:p>
        </w:tc>
      </w:tr>
    </w:tbl>
    <w:p>
      <w:r/>
    </w:p>
    <w:p>
      <w:r>
        <w:t>Esses volumes não medem produção atual de transferências, nem permitem calcular a demanda contratável do Canaã. Misturam capacidades publicadas em anos distintos e atendimento adulto e pediátrico. Não se aplica um percentual genérico de conversão sobre sua soma.</w:t>
      </w:r>
    </w:p>
    <w:p>
      <w:r>
        <w:t>Para a Mooca, esta edição adota a notícia da SMS R05, cujo título e corpo informam aproximadamente 11 mil. Esse registro histórico não valida a produção atual; a conferência de relatórios mensais continua necessária.</w:t>
      </w:r>
    </w:p>
    <w:p>
      <w:pPr>
        <w:pStyle w:val="Heading2"/>
      </w:pPr>
      <w:r>
        <w:t>Recorte assistencial</w:t>
      </w:r>
    </w:p>
    <w:p>
      <w:r>
        <w:t>O site propõe retaguarda central e conexões com Vila Mariana, Mooca e Lapa. A população territorial não é a soma dos usuários exclusivos das unidades. Para o contrato, a unidade de análise deve ser cada solicitação de internação adulta, identificada pela origem e pelo recurso necessário.</w:t>
      </w:r>
    </w:p>
    <w:p>
      <w:bookmarkStart w:id="3" w:name="evidencia"/>
      <w:pPr>
        <w:pStyle w:val="Heading1"/>
        <w:pageBreakBefore/>
      </w:pPr>
      <w:r>
        <w:t>Evidência e seleção das condições</w:t>
      </w:r>
      <w:bookmarkEnd w:id="3"/>
    </w:p>
    <w:p>
      <w:r>
        <w:t>A evidência consultada permite selecionar linhas prioritárias, mas não estabelece um ranking atual das 40 causas de transferência das seis origens. A ordem real requer dados de regulação vinculados à origem, gravidade e desfecho.</w:t>
      </w:r>
    </w:p>
    <w:p>
      <w:r>
        <w:t>Em estudo do Rio de Janeiro com dados de setembro de 2016 a agosto de 2017, UPAs e CERs registraram 20.317 solicitações de clínica geral e 5.969 de UTI adulto. Entre os diagnósticos destacados estavam AVC, infecção urinária, infarto, pneumonia e edema pulmonar. É evidência histórica de outra cidade, útil à seleção, sem estimar frequências paulistanas. R09.</w:t>
      </w:r>
    </w:p>
    <w:p>
      <w:r>
        <w:t>No município de São Paulo, o PMS 2026 a 2029 informa 727.416 AIH em 2024 e participação de 10,5% para doenças circulatórias. A tabela abrange todas as idades e diferentes caracteres de atendimento; não corresponde a adultos transferidos de UPA. R07. A documentação do SIH descreve diagnóstico principal e caráter da internação, mas essa tabulação, isoladamente, não identifica toda a demanda reprimida por origem. R08.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56"/>
        <w:gridCol w:w="2304"/>
        <w:gridCol w:w="2434"/>
      </w:tblGrid>
      <w:tr>
        <w:trPr>
          <w:tblHeader/>
          <w:cantSplit/>
        </w:trPr>
        <w:tc>
          <w:tcPr>
            <w:tcW w:type="dxa" w:w="52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  <w:jc w:val="center"/>
            </w:pPr>
            <w:r>
              <w:rPr>
                <w:b/>
                <w:color w:val="FFFFFF"/>
                <w:sz w:val="20"/>
              </w:rPr>
              <w:t>Grupo de protocolos</w:t>
            </w:r>
          </w:p>
        </w:tc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IDs</w:t>
            </w:r>
          </w:p>
        </w:tc>
        <w:tc>
          <w:tcPr>
            <w:tcW w:type="dxa" w:w="24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Quantidade</w:t>
            </w:r>
          </w:p>
        </w:tc>
      </w:tr>
      <w:tr>
        <w:trPr>
          <w:cantSplit/>
        </w:trPr>
        <w:tc>
          <w:tcPr>
            <w:tcW w:type="dxa" w:w="52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Cardiovasculares</w:t>
            </w:r>
          </w:p>
        </w:tc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01 a 05</w:t>
            </w:r>
          </w:p>
        </w:tc>
        <w:tc>
          <w:tcPr>
            <w:tcW w:type="dxa" w:w="24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5</w:t>
            </w:r>
          </w:p>
        </w:tc>
      </w:tr>
      <w:tr>
        <w:trPr>
          <w:cantSplit/>
        </w:trPr>
        <w:tc>
          <w:tcPr>
            <w:tcW w:type="dxa" w:w="52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Respiratórios</w:t>
            </w:r>
          </w:p>
        </w:tc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06 a 09</w:t>
            </w:r>
          </w:p>
        </w:tc>
        <w:tc>
          <w:tcPr>
            <w:tcW w:type="dxa" w:w="24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4</w:t>
            </w:r>
          </w:p>
        </w:tc>
      </w:tr>
      <w:tr>
        <w:trPr>
          <w:cantSplit/>
        </w:trPr>
        <w:tc>
          <w:tcPr>
            <w:tcW w:type="dxa" w:w="52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Neurológicos</w:t>
            </w:r>
          </w:p>
        </w:tc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10 a 13</w:t>
            </w:r>
          </w:p>
        </w:tc>
        <w:tc>
          <w:tcPr>
            <w:tcW w:type="dxa" w:w="24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4</w:t>
            </w:r>
          </w:p>
        </w:tc>
      </w:tr>
      <w:tr>
        <w:trPr>
          <w:cantSplit/>
        </w:trPr>
        <w:tc>
          <w:tcPr>
            <w:tcW w:type="dxa" w:w="52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Infecções e sepse</w:t>
            </w:r>
          </w:p>
        </w:tc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14 a 17</w:t>
            </w:r>
          </w:p>
        </w:tc>
        <w:tc>
          <w:tcPr>
            <w:tcW w:type="dxa" w:w="24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4</w:t>
            </w:r>
          </w:p>
        </w:tc>
      </w:tr>
      <w:tr>
        <w:trPr>
          <w:cantSplit/>
        </w:trPr>
        <w:tc>
          <w:tcPr>
            <w:tcW w:type="dxa" w:w="52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Renais e metabólicos</w:t>
            </w:r>
          </w:p>
        </w:tc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18 a 22</w:t>
            </w:r>
          </w:p>
        </w:tc>
        <w:tc>
          <w:tcPr>
            <w:tcW w:type="dxa" w:w="24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5</w:t>
            </w:r>
          </w:p>
        </w:tc>
      </w:tr>
      <w:tr>
        <w:trPr>
          <w:cantSplit/>
        </w:trPr>
        <w:tc>
          <w:tcPr>
            <w:tcW w:type="dxa" w:w="52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Digestivos e hematológicos</w:t>
            </w:r>
          </w:p>
        </w:tc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23 a 28</w:t>
            </w:r>
          </w:p>
        </w:tc>
        <w:tc>
          <w:tcPr>
            <w:tcW w:type="dxa" w:w="24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6</w:t>
            </w:r>
          </w:p>
        </w:tc>
      </w:tr>
      <w:tr>
        <w:trPr>
          <w:cantSplit/>
        </w:trPr>
        <w:tc>
          <w:tcPr>
            <w:tcW w:type="dxa" w:w="52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Avaliação cirúrgica</w:t>
            </w:r>
          </w:p>
        </w:tc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29 a 40</w:t>
            </w:r>
          </w:p>
        </w:tc>
        <w:tc>
          <w:tcPr>
            <w:tcW w:type="dxa" w:w="24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12</w:t>
            </w:r>
          </w:p>
        </w:tc>
      </w:tr>
      <w:tr>
        <w:trPr>
          <w:cantSplit/>
        </w:trPr>
        <w:tc>
          <w:tcPr>
            <w:tcW w:type="dxa" w:w="525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  <w:jc w:val="center"/>
            </w:pPr>
            <w:r>
              <w:rPr>
                <w:sz w:val="20"/>
              </w:rPr>
              <w:t>Total</w:t>
            </w:r>
          </w:p>
        </w:tc>
        <w:tc>
          <w:tcPr>
            <w:tcW w:type="dxa" w:w="230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01 a 40</w:t>
            </w:r>
          </w:p>
        </w:tc>
        <w:tc>
          <w:tcPr>
            <w:tcW w:type="dxa" w:w="24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40</w:t>
            </w:r>
          </w:p>
        </w:tc>
      </w:tr>
    </w:tbl>
    <w:p>
      <w:r/>
    </w:p>
    <w:p>
      <w:r>
        <w:t>Critério de priorização: combinação de evidência epidemiológica, necessidade de retaguarda, risco do atraso e compatibilidade com especialidades e recursos. Condições como meningite, isquemia aguda e infecção bucomaxilofacial profunda também entram pela gravidade, sem frequência local demonstrada.</w:t>
      </w:r>
    </w:p>
    <w:p>
      <w:r>
        <w:t>A carteira não esgota as urgências. Protocolos transversais de choque, insuficiência respiratória, dor torácica, déficit neurológico, abdome agudo e deterioração clínica acolhem apresentações ainda sem diagnóstico etiológico.</w:t>
      </w:r>
    </w:p>
    <w:p>
      <w:bookmarkStart w:id="4" w:name="cardio"/>
      <w:pPr>
        <w:pStyle w:val="Heading1"/>
        <w:pageBreakBefore/>
      </w:pPr>
      <w:r>
        <w:t>Protocolos cardiovasculares</w:t>
      </w:r>
      <w:bookmarkEnd w:id="4"/>
    </w:p>
    <w:p>
      <w:bookmarkStart w:id="5" w:name="p01"/>
      <w:pPr>
        <w:pStyle w:val="Heading2"/>
        <w:spacing w:before="140" w:after="80"/>
      </w:pPr>
      <w:r>
        <w:t>01 Insuficiência cardíaca aguda e edema pulmonar</w:t>
      </w:r>
      <w:bookmarkEnd w:id="5"/>
    </w:p>
    <w:p>
      <w:pPr>
        <w:spacing w:after="60" w:line="240" w:lineRule="auto"/>
      </w:pPr>
      <w:r>
        <w:rPr>
          <w:b/>
        </w:rPr>
        <w:t xml:space="preserve">Quando internar </w:t>
      </w:r>
      <w:r>
        <w:t>Congestão, hipoxemia ou hipoperfusão relevantes, necessidade de tratamento intravenoso ou suporte ventilatório.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ECG, função renal, eletrólitos e imagem torácica ou ultrassom pulmonar; ecocardiograma e biomarcadores conforme hipótese.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 e Cardiologia.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Suporte e tratamento na apresentação; UTI se choque ou falência respiratória. Identificar precipitante e resposta nas primeiras horas. (R13)</w:t>
      </w:r>
    </w:p>
    <w:p>
      <w:bookmarkStart w:id="6" w:name="p02"/>
      <w:pPr>
        <w:pStyle w:val="Heading2"/>
        <w:spacing w:before="140" w:after="80"/>
      </w:pPr>
      <w:r>
        <w:t>02 Síndrome coronariana aguda</w:t>
      </w:r>
      <w:bookmarkEnd w:id="6"/>
    </w:p>
    <w:p>
      <w:pPr>
        <w:spacing w:after="60" w:line="240" w:lineRule="auto"/>
      </w:pPr>
      <w:r>
        <w:rPr>
          <w:b/>
        </w:rPr>
        <w:t xml:space="preserve">Quando internar </w:t>
      </w:r>
      <w:r>
        <w:t>Suspeita de infarto ou angina instável de risco que exija investigação seriada e monitorização.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ECG imediato e seriado quando indicado; troponina de alta sensibilidade seriada, hemograma, função renal e eletrólitos.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Emergência e Cardiologia, com referência de hemodinâmica.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ECG adquirido e interpretado em até 10 minutos do primeiro contato médico. Reperfusão segue relógio próprio; pactuar acesso direto ao recurso necessário. (R11)</w:t>
      </w:r>
    </w:p>
    <w:p>
      <w:bookmarkStart w:id="7" w:name="p03"/>
      <w:pPr>
        <w:pStyle w:val="Heading2"/>
        <w:spacing w:before="140" w:after="80"/>
      </w:pPr>
      <w:r>
        <w:t>03 Arritmias e distúrbios de condução sintomáticos</w:t>
      </w:r>
      <w:bookmarkEnd w:id="7"/>
    </w:p>
    <w:p>
      <w:pPr>
        <w:spacing w:after="60" w:line="240" w:lineRule="auto"/>
      </w:pPr>
      <w:r>
        <w:rPr>
          <w:b/>
        </w:rPr>
        <w:t xml:space="preserve">Quando internar </w:t>
      </w:r>
      <w:r>
        <w:t>Taquiarritmia ou bradiarritmia com instabilidade, síncope de risco, recorrência ou necessidade de intervenção hospitalar.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ECG, monitorização, eletrólitos, glicemia e função renal; investigar isquemia e outros gatilhos conforme quadro.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Emergência, Clínica Médica e Cardiologia.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Intervenção imediata na instabilidade atribuída à arritmia. Confirmar capacidade de cardioversão e estimulação; referência para recurso invasivo ausente. (R39)</w:t>
      </w:r>
    </w:p>
    <w:p>
      <w:bookmarkStart w:id="8" w:name="p04"/>
      <w:pPr>
        <w:pStyle w:val="Heading2"/>
        <w:spacing w:before="140" w:after="80"/>
      </w:pPr>
      <w:r>
        <w:t>04 Emergência hipertensiva</w:t>
      </w:r>
      <w:bookmarkEnd w:id="8"/>
    </w:p>
    <w:p>
      <w:pPr>
        <w:spacing w:after="60" w:line="240" w:lineRule="auto"/>
      </w:pPr>
      <w:r>
        <w:rPr>
          <w:b/>
        </w:rPr>
        <w:t xml:space="preserve">Quando internar </w:t>
      </w:r>
      <w:r>
        <w:t>Pressão elevada associada a lesão aguda de órgão alvo; elevação isolada não define necessidade de internação.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ECG, função renal e urina; imagem cerebral, cardíaca ou da aorta e troponina conforme órgão suspeito.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 e especialista do órgão acometido.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Tratamento pronto e individualizado à síndrome. Monitorização intensiva quando necessária; não aplicar a mesma meta pressórica a AVC, edema pulmonar e dissecção. (R14)</w:t>
      </w:r>
    </w:p>
    <w:p>
      <w:bookmarkStart w:id="9" w:name="p05"/>
      <w:pPr>
        <w:pStyle w:val="Heading2"/>
        <w:spacing w:before="140" w:after="80"/>
      </w:pPr>
      <w:r>
        <w:t>05 Tromboembolismo venoso com indicação de internação</w:t>
      </w:r>
      <w:bookmarkEnd w:id="9"/>
    </w:p>
    <w:p>
      <w:pPr>
        <w:spacing w:after="60" w:line="240" w:lineRule="auto"/>
      </w:pPr>
      <w:r>
        <w:rPr>
          <w:b/>
        </w:rPr>
        <w:t xml:space="preserve">Quando internar </w:t>
      </w:r>
      <w:r>
        <w:t>Embolia pulmonar de risco ou trombose venosa com complicação ou impossibilidade de tratamento ambulatorial seguro.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Probabilidade clínica; dímero D na estratégia apropriada; angiotomografia pulmonar ou Doppler conforme apresentação.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Médica, Cardiologia e Vascular conforme necessidade.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Estratificar risco e iniciar tratamento indicado precocemente. Choque demanda decisão imediata sobre reperfusão e acesso à referência. (R15)</w:t>
      </w:r>
    </w:p>
    <w:p>
      <w:bookmarkStart w:id="10" w:name="resp"/>
      <w:pPr>
        <w:pStyle w:val="Heading1"/>
        <w:pageBreakBefore/>
      </w:pPr>
      <w:r>
        <w:t>Protocolos respiratórios</w:t>
      </w:r>
      <w:bookmarkEnd w:id="10"/>
    </w:p>
    <w:p>
      <w:bookmarkStart w:id="11" w:name="p06"/>
      <w:pPr>
        <w:pStyle w:val="Heading2"/>
        <w:spacing w:before="140" w:after="80"/>
      </w:pPr>
      <w:r>
        <w:t>06 Pneumonia com necessidade de hospitalização</w:t>
      </w:r>
      <w:bookmarkEnd w:id="11"/>
    </w:p>
    <w:p>
      <w:pPr>
        <w:spacing w:after="60" w:line="240" w:lineRule="auto"/>
      </w:pPr>
      <w:r>
        <w:rPr>
          <w:b/>
        </w:rPr>
        <w:t xml:space="preserve">Quando internar </w:t>
      </w:r>
      <w:r>
        <w:t>Hipoxemia, gravidade clínica, complicação ou impossibilidade de tratamento fora do hospital; inclui aspiração conforme contexto.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Oximetria, imagem de tórax, hemograma e função renal conforme gravidade; culturas e testes virais selecionados.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Médica; Infectologia e intensivista conforme gravidade.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Antimicrobiano e suporte sem atraso indevido. Procurar sepse e necessidade de ventilação; reavaliar diagnóstico e resposta em 24 a 48 horas. (R16 R48)</w:t>
      </w:r>
    </w:p>
    <w:p>
      <w:bookmarkStart w:id="12" w:name="p07"/>
      <w:pPr>
        <w:pStyle w:val="Heading2"/>
        <w:spacing w:before="140" w:after="80"/>
      </w:pPr>
      <w:r>
        <w:t>07 Exacerbação de DPOC</w:t>
      </w:r>
      <w:bookmarkEnd w:id="12"/>
    </w:p>
    <w:p>
      <w:pPr>
        <w:spacing w:after="60" w:line="240" w:lineRule="auto"/>
      </w:pPr>
      <w:r>
        <w:rPr>
          <w:b/>
        </w:rPr>
        <w:t xml:space="preserve">Quando internar </w:t>
      </w:r>
      <w:r>
        <w:t>Dispneia importante, hipoxemia, hipercapnia, acidose ou resposta insuficiente ao manejo inicial.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Oximetria; gasometria se gravidade ou retenção de CO2; imagem torácica, ECG e laboratório dirigido.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Médica; intensivista quando necessário.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Avaliar precocemente suporte ventilatório e causas alternativas, como pneumonia, insuficiência cardíaca e embolia pulmonar. (R17)</w:t>
      </w:r>
    </w:p>
    <w:p>
      <w:bookmarkStart w:id="13" w:name="p08"/>
      <w:pPr>
        <w:pStyle w:val="Heading2"/>
        <w:spacing w:before="140" w:after="80"/>
      </w:pPr>
      <w:r>
        <w:t>08 Exacerbação grave de asma</w:t>
      </w:r>
      <w:bookmarkEnd w:id="13"/>
    </w:p>
    <w:p>
      <w:pPr>
        <w:spacing w:after="60" w:line="240" w:lineRule="auto"/>
      </w:pPr>
      <w:r>
        <w:rPr>
          <w:b/>
        </w:rPr>
        <w:t xml:space="preserve">Quando internar </w:t>
      </w:r>
      <w:r>
        <w:t>Resposta insuficiente ao tratamento inicial, hipoxemia, exaustão ou risco de falência ventilatória.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Avaliação clínica seriada e oximetria; fluxo expiratório quando factível; gasometria e imagem apenas se indicadas.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Emergência, Clínica Médica e intensivista.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Terapia imediata; deterioração da consciência ou esforço respiratório exige escalonamento rápido. Não aguardar a conclusão da investigação. (R18)</w:t>
      </w:r>
    </w:p>
    <w:p>
      <w:bookmarkStart w:id="14" w:name="p09"/>
      <w:pPr>
        <w:pStyle w:val="Heading2"/>
        <w:spacing w:before="140" w:after="80"/>
      </w:pPr>
      <w:r>
        <w:t>09 Síndrome respiratória aguda grave por vírus</w:t>
      </w:r>
      <w:bookmarkEnd w:id="14"/>
    </w:p>
    <w:p>
      <w:pPr>
        <w:spacing w:after="60" w:line="240" w:lineRule="auto"/>
      </w:pPr>
      <w:r>
        <w:rPr>
          <w:b/>
        </w:rPr>
        <w:t xml:space="preserve">Quando internar </w:t>
      </w:r>
      <w:r>
        <w:t>Influenza, covid 19 ou outro vírus com comprometimento respiratório que demande internação.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Oximetria, avaliação de gravidade e imagem dirigida; teste etiológico conforme indicação e vigilância vigente.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 e Infectologia; UTI nos casos graves.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Definir suporte respiratório, precauções e terapia específica quando indicada. Evitar dupla contagem com pneumonia e sepse na análise de demanda. (R47)</w:t>
      </w:r>
    </w:p>
    <w:p>
      <w:bookmarkStart w:id="15" w:name="neuro"/>
      <w:pPr>
        <w:pStyle w:val="Heading1"/>
        <w:pageBreakBefore/>
      </w:pPr>
      <w:r>
        <w:t>Protocolos neurológicos</w:t>
      </w:r>
      <w:bookmarkEnd w:id="15"/>
    </w:p>
    <w:p>
      <w:bookmarkStart w:id="16" w:name="p10"/>
      <w:pPr>
        <w:pStyle w:val="Heading2"/>
        <w:spacing w:before="140" w:after="80"/>
      </w:pPr>
      <w:r>
        <w:t>10 AVC isquêmico e AIT de alto risco</w:t>
      </w:r>
      <w:bookmarkEnd w:id="16"/>
    </w:p>
    <w:p>
      <w:pPr>
        <w:spacing w:after="60" w:line="240" w:lineRule="auto"/>
      </w:pPr>
      <w:r>
        <w:rPr>
          <w:b/>
        </w:rPr>
        <w:t xml:space="preserve">Quando internar </w:t>
      </w:r>
      <w:r>
        <w:t>Déficit focal agudo ou evento transitório de risco com necessidade de investigação e vigilância hospitalares.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Glicemia imediata, avaliação neurológica estruturada e TC de crânio; estudo vascular conforme elegibilidade.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Neurologia, Emergência e referência de AVC.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Registrar início ou último momento bem. Avaliar reperfusão imediatamente; exames adicionais não devem atrasar terapia elegível. (R12)</w:t>
      </w:r>
    </w:p>
    <w:p>
      <w:bookmarkStart w:id="17" w:name="p11"/>
      <w:pPr>
        <w:pStyle w:val="Heading2"/>
        <w:spacing w:before="140" w:after="80"/>
      </w:pPr>
      <w:r>
        <w:t>11 AVC hemorrágico</w:t>
      </w:r>
      <w:bookmarkEnd w:id="17"/>
    </w:p>
    <w:p>
      <w:pPr>
        <w:spacing w:after="60" w:line="240" w:lineRule="auto"/>
      </w:pPr>
      <w:r>
        <w:rPr>
          <w:b/>
        </w:rPr>
        <w:t xml:space="preserve">Quando internar </w:t>
      </w:r>
      <w:r>
        <w:t>Hemorragia intracerebral com necessidade de controle clínico, monitorização e avaliação especializada.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TC de crânio, glicemia, hemograma, plaquetas e coagulação; estudo vascular conforme suspeita.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Neurologia e intensivista; Neurocirurgia craniana conforme caso.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Resposta imediata na deterioração. A cirurgia de coluna prevista no site não comprova disponibilidade de neurocirurgia craniana. (R38)</w:t>
      </w:r>
    </w:p>
    <w:p>
      <w:bookmarkStart w:id="18" w:name="p12"/>
      <w:pPr>
        <w:pStyle w:val="Heading2"/>
        <w:spacing w:before="140" w:after="80"/>
      </w:pPr>
      <w:r>
        <w:t>12 Crises convulsivas prolongadas ou recorrentes</w:t>
      </w:r>
      <w:bookmarkEnd w:id="18"/>
    </w:p>
    <w:p>
      <w:pPr>
        <w:spacing w:after="60" w:line="240" w:lineRule="auto"/>
      </w:pPr>
      <w:r>
        <w:rPr>
          <w:b/>
        </w:rPr>
        <w:t xml:space="preserve">Quando internar </w:t>
      </w:r>
      <w:r>
        <w:t>Estado de mal, recorrência sem recuperação ou alteração persistente de consciência por causa aguda.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Glicemia e eletrólitos; investigar causas infecciosas, tóxicas e estruturais; TC e EEG conforme necessidade.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Emergência, Neurologia e intensivista.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Crise convulsiva com 5 minutos ou mais exige tratamento emergencial. Acesso ao EEG deve estar definido para suspeita de estado não convulsivo. (R35)</w:t>
      </w:r>
    </w:p>
    <w:p>
      <w:bookmarkStart w:id="19" w:name="p13"/>
      <w:pPr>
        <w:pStyle w:val="Heading2"/>
        <w:spacing w:before="140" w:after="80"/>
      </w:pPr>
      <w:r>
        <w:t>13 Delirium e encefalopatia aguda</w:t>
      </w:r>
      <w:bookmarkEnd w:id="19"/>
    </w:p>
    <w:p>
      <w:pPr>
        <w:spacing w:after="60" w:line="240" w:lineRule="auto"/>
      </w:pPr>
      <w:r>
        <w:rPr>
          <w:b/>
        </w:rPr>
        <w:t xml:space="preserve">Quando internar </w:t>
      </w:r>
      <w:r>
        <w:t>Alteração aguda de cognição ou consciência com risco e impossibilidade de cuidado seguro fora do hospital.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Glicemia, oximetria, rastreio validado, revisão de medicamentos e exames dirigidos à causa; neuroimagem se indicada.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Médica; Neurologia e outras interconsultas conforme hipótese.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Tratar causas reversíveis e proteger via aérea quando necessário. Não atribuir automaticamente à idade, demência ou bacteriúria. (R36)</w:t>
      </w:r>
    </w:p>
    <w:p>
      <w:bookmarkStart w:id="20" w:name="infec"/>
      <w:pPr>
        <w:pStyle w:val="Heading1"/>
        <w:pageBreakBefore/>
      </w:pPr>
      <w:r>
        <w:t>Protocolos de infecção</w:t>
      </w:r>
      <w:bookmarkEnd w:id="20"/>
    </w:p>
    <w:p>
      <w:bookmarkStart w:id="21" w:name="p14"/>
      <w:pPr>
        <w:pStyle w:val="Heading2"/>
        <w:spacing w:before="140" w:after="80"/>
      </w:pPr>
      <w:r>
        <w:t>14 Sepse e choque séptico</w:t>
      </w:r>
      <w:bookmarkEnd w:id="21"/>
    </w:p>
    <w:p>
      <w:pPr>
        <w:spacing w:after="60" w:line="240" w:lineRule="auto"/>
      </w:pPr>
      <w:r>
        <w:rPr>
          <w:b/>
        </w:rPr>
        <w:t xml:space="preserve">Quando internar </w:t>
      </w:r>
      <w:r>
        <w:t>Infecção suspeita ou provável com disfunção orgânica, com ou sem choque; protocolo transversal aos focos.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Avaliar disfunções, lactato e culturas pertinentes; imagem e procedimentos orientados pelo foco.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Emergência, Clínica Médica, Infectologia e UTI; cirurgião se indicado.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Antimicrobiano imediato, idealmente em 1 hora no choque ou sepse provável ou definida. Sepse apenas possível sem choque permite investigação rápida limitada, com terapia em até 3 horas se persistir suspeita. (R10)</w:t>
      </w:r>
    </w:p>
    <w:p>
      <w:bookmarkStart w:id="22" w:name="p15"/>
      <w:pPr>
        <w:pStyle w:val="Heading2"/>
        <w:spacing w:before="140" w:after="80"/>
      </w:pPr>
      <w:r>
        <w:t>15 Pielonefrite e infecção urinária complicada</w:t>
      </w:r>
      <w:bookmarkEnd w:id="22"/>
    </w:p>
    <w:p>
      <w:pPr>
        <w:spacing w:after="60" w:line="240" w:lineRule="auto"/>
      </w:pPr>
      <w:r>
        <w:rPr>
          <w:b/>
        </w:rPr>
        <w:t xml:space="preserve">Quando internar </w:t>
      </w:r>
      <w:r>
        <w:t>Quadro sistêmico, intolerância oral, falha terapêutica, sepse ou necessidade de recurso hospitalar.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Urina, urocultura, função renal e laboratório de gravidade; imagem se houver suspeita de obstrução ou complicação.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 e Infectologia; Urologia se obstrução.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Tratar pela gravidade, culturas prévias e resistência local. Obstrução infectada aciona também a linha 35 para descompressão urgente. (R19 R31)</w:t>
      </w:r>
    </w:p>
    <w:p>
      <w:bookmarkStart w:id="23" w:name="p16"/>
      <w:pPr>
        <w:pStyle w:val="Heading2"/>
        <w:spacing w:before="140" w:after="80"/>
      </w:pPr>
      <w:r>
        <w:t>16 Celulite e erisipela complicadas</w:t>
      </w:r>
      <w:bookmarkEnd w:id="23"/>
    </w:p>
    <w:p>
      <w:pPr>
        <w:spacing w:after="60" w:line="240" w:lineRule="auto"/>
      </w:pPr>
      <w:r>
        <w:rPr>
          <w:b/>
        </w:rPr>
        <w:t xml:space="preserve">Quando internar </w:t>
      </w:r>
      <w:r>
        <w:t>Infecção extensa, sinais sistêmicos, falha de tratamento ou suspeita de coleção profunda.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Avaliação local e sistêmica; laboratório conforme gravidade e imagem se coleção ou foco profundo.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 e Infectologia; Cirurgia quando necessário.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Suspeita de infecção necrosante exige avaliação cirúrgica imediata. Imagem não deve atrasar controle de foco indicado. (R37)</w:t>
      </w:r>
    </w:p>
    <w:p>
      <w:bookmarkStart w:id="24" w:name="p17"/>
      <w:pPr>
        <w:pStyle w:val="Heading2"/>
        <w:spacing w:before="140" w:after="80"/>
      </w:pPr>
      <w:r>
        <w:t>17 Meningite e encefalite suspeitas</w:t>
      </w:r>
      <w:bookmarkEnd w:id="24"/>
    </w:p>
    <w:p>
      <w:pPr>
        <w:spacing w:after="60" w:line="240" w:lineRule="auto"/>
      </w:pPr>
      <w:r>
        <w:rPr>
          <w:b/>
        </w:rPr>
        <w:t xml:space="preserve">Quando internar </w:t>
      </w:r>
      <w:r>
        <w:t>Síndrome infecciosa do sistema nervoso central com risco de deterioração e necessidade de tratamento hospitalar.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Hemoculturas e exames dirigidos; líquor quando seguro; neuroimagem antes da punção nas indicações pertinentes.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Infectologia, Neurologia e intensivista.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Na suspeita de meningite bacteriana, iniciar antibiótico em até 1 hora da chegada hospitalar. Punção e imagem não podem causar atraso clinicamente relevante. (R20)</w:t>
      </w:r>
    </w:p>
    <w:p>
      <w:bookmarkStart w:id="25" w:name="renal"/>
      <w:pPr>
        <w:pStyle w:val="Heading1"/>
        <w:pageBreakBefore/>
      </w:pPr>
      <w:r>
        <w:t>Protocolos renais e metabólicos</w:t>
      </w:r>
      <w:bookmarkEnd w:id="25"/>
    </w:p>
    <w:p>
      <w:bookmarkStart w:id="26" w:name="p18"/>
      <w:pPr>
        <w:pStyle w:val="Heading2"/>
        <w:spacing w:before="140" w:after="80"/>
      </w:pPr>
      <w:r>
        <w:t>18 Lesão renal aguda</w:t>
      </w:r>
      <w:bookmarkEnd w:id="26"/>
    </w:p>
    <w:p>
      <w:pPr>
        <w:spacing w:after="60" w:line="240" w:lineRule="auto"/>
      </w:pPr>
      <w:r>
        <w:rPr>
          <w:b/>
        </w:rPr>
        <w:t xml:space="preserve">Quando internar </w:t>
      </w:r>
      <w:r>
        <w:t>Disfunção renal com repercussão, oligúria, complicação ou necessidade de investigação hospitalar.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Creatinina e tendência prévia, diurese, eletrólitos e urina; gasometria e ultrassom conforme hipótese.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 e Nefrologia.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Tratar a causa e distúrbios ameaçadores de vida prontamente. Avaliar diálise pela situação clínica, sem usar creatinina isolada como indicação. (R21)</w:t>
      </w:r>
    </w:p>
    <w:p>
      <w:bookmarkStart w:id="27" w:name="p19"/>
      <w:pPr>
        <w:pStyle w:val="Heading2"/>
        <w:spacing w:before="140" w:after="80"/>
      </w:pPr>
      <w:r>
        <w:t>19 Doença renal crônica descompensada</w:t>
      </w:r>
      <w:bookmarkEnd w:id="27"/>
    </w:p>
    <w:p>
      <w:pPr>
        <w:spacing w:after="60" w:line="240" w:lineRule="auto"/>
      </w:pPr>
      <w:r>
        <w:rPr>
          <w:b/>
        </w:rPr>
        <w:t xml:space="preserve">Quando internar </w:t>
      </w:r>
      <w:r>
        <w:t>Congestão, hipercalemia, acidose, uremia ou complicação dialítica que impeça manejo ambulatorial.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ECG, eletrólitos, função renal e balanço hídrico; exames do foco ou acesso conforme quadro.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Nefrologia, Clínica Médica e UTI quando indicada.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Confirmar acesso imediato à terapia renal substitutiva antes de pactuar recebimentos. Diferenciar retaguarda aguda do programa ambulatorial de diálise. (R21)</w:t>
      </w:r>
    </w:p>
    <w:p>
      <w:bookmarkStart w:id="28" w:name="p20"/>
      <w:pPr>
        <w:pStyle w:val="Heading2"/>
        <w:spacing w:before="140" w:after="80"/>
      </w:pPr>
      <w:r>
        <w:t>20 Cetoacidose diabética e estado hiperosmolar</w:t>
      </w:r>
      <w:bookmarkEnd w:id="28"/>
    </w:p>
    <w:p>
      <w:pPr>
        <w:spacing w:after="60" w:line="240" w:lineRule="auto"/>
      </w:pPr>
      <w:r>
        <w:rPr>
          <w:b/>
        </w:rPr>
        <w:t xml:space="preserve">Quando internar </w:t>
      </w:r>
      <w:r>
        <w:t>Crise metabólica que demande reposição, insulinoterapia e monitorização compatíveis com sua gravidade.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Glicemia, cetonas, gasometria, eletrólitos, função renal e osmolaridade; pesquisa do precipitante.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Médica; intensivista conforme gravidade.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Tratamento imediato com monitorização de potássio, glicemia e osmolaridade. A definição etiológica completa não precede a correção da emergência. (R22)</w:t>
      </w:r>
    </w:p>
    <w:p>
      <w:bookmarkStart w:id="29" w:name="p21"/>
      <w:pPr>
        <w:pStyle w:val="Heading2"/>
        <w:spacing w:before="140" w:after="80"/>
      </w:pPr>
      <w:r>
        <w:t>21 Hipoglicemia grave ou recorrente</w:t>
      </w:r>
      <w:bookmarkEnd w:id="29"/>
    </w:p>
    <w:p>
      <w:pPr>
        <w:spacing w:after="60" w:line="240" w:lineRule="auto"/>
      </w:pPr>
      <w:r>
        <w:rPr>
          <w:b/>
        </w:rPr>
        <w:t xml:space="preserve">Quando internar </w:t>
      </w:r>
      <w:r>
        <w:t>Recorrência, neuroglicopenia persistente, fármaco de ação prolongada ou doença subjacente relevante.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Glicemia imediata e seriada; revisão de medicamentos e ingestão; função renal e hepática quando pertinente.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Emergência e Clínica Médica.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Correção imediata e prevenção de recorrência. Internar conforme risco e causa; episódio isolado resolvido não exige automaticamente leito hospitalar. (R46)</w:t>
      </w:r>
    </w:p>
    <w:p>
      <w:bookmarkStart w:id="30" w:name="p22"/>
      <w:pPr>
        <w:pStyle w:val="Heading2"/>
        <w:spacing w:before="140" w:after="80"/>
      </w:pPr>
      <w:r>
        <w:t>22 Distúrbios hidroeletrolíticos e acidobásicos graves</w:t>
      </w:r>
      <w:bookmarkEnd w:id="30"/>
    </w:p>
    <w:p>
      <w:pPr>
        <w:spacing w:after="60" w:line="240" w:lineRule="auto"/>
      </w:pPr>
      <w:r>
        <w:rPr>
          <w:b/>
        </w:rPr>
        <w:t xml:space="preserve">Quando internar </w:t>
      </w:r>
      <w:r>
        <w:t>Alterações de sódio, potássio ou equilíbrio acidobásico com sintomas, risco de arritmia ou necessidade de correção monitorizada.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Eletrólitos, ECG, função renal, glicemia e gasometria; osmolaridade e exames urinários selecionados.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Médica, Nefrologia e UTI quando necessária.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Intervir prontamente no risco vital. Protocolar monitorização e limites de correção, sobretudo para sódio e potássio. (R21)</w:t>
      </w:r>
    </w:p>
    <w:p>
      <w:bookmarkStart w:id="31" w:name="digest"/>
      <w:pPr>
        <w:pStyle w:val="Heading1"/>
        <w:pageBreakBefore/>
      </w:pPr>
      <w:r>
        <w:t>Protocolos digestivos e hematológicos</w:t>
      </w:r>
      <w:bookmarkEnd w:id="31"/>
    </w:p>
    <w:p>
      <w:bookmarkStart w:id="32" w:name="p23"/>
      <w:pPr>
        <w:pStyle w:val="Heading2"/>
        <w:spacing w:before="140" w:after="80"/>
      </w:pPr>
      <w:r>
        <w:t>23 Hemorragia digestiva alta</w:t>
      </w:r>
      <w:bookmarkEnd w:id="32"/>
    </w:p>
    <w:p>
      <w:pPr>
        <w:spacing w:after="60" w:line="240" w:lineRule="auto"/>
      </w:pPr>
      <w:r>
        <w:rPr>
          <w:b/>
        </w:rPr>
        <w:t xml:space="preserve">Quando internar </w:t>
      </w:r>
      <w:r>
        <w:t>Sangramento com repercussão, risco de recorrência ou necessidade de endoscopia hospitalar.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Hemograma, coagulação, função renal e preparo hemoterápico; endoscopia após avaliação e ressuscitação.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Gastroenterologia e Endoscopia, Clínica Médica; Cirurgia e UTI conforme caso.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Estabilizar e estratificar. Separar sangramento varicoso do não varicoso. Não impor endoscopia em 6 ou 12 horas a toda úlcera sangrante. (R23)</w:t>
      </w:r>
    </w:p>
    <w:p>
      <w:bookmarkStart w:id="33" w:name="p24"/>
      <w:pPr>
        <w:pStyle w:val="Heading2"/>
        <w:spacing w:before="140" w:after="80"/>
      </w:pPr>
      <w:r>
        <w:t>24 Hemorragia digestiva baixa</w:t>
      </w:r>
      <w:bookmarkEnd w:id="33"/>
    </w:p>
    <w:p>
      <w:pPr>
        <w:spacing w:after="60" w:line="240" w:lineRule="auto"/>
      </w:pPr>
      <w:r>
        <w:rPr>
          <w:b/>
        </w:rPr>
        <w:t xml:space="preserve">Quando internar </w:t>
      </w:r>
      <w:r>
        <w:t>Sangramento com repercussão, recorrência ou risco que exija investigação ou intervenção hospitalares.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Hemograma, coagulação e preparo hemoterápico; angiotomografia no sangramento grave ativo; colonoscopia conforme situação e preparo.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Gastroenterologia e Endoscopia, Clínica Médica e Cirurgia.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Estabilização precede investigação. Colonoscopia em até 24 horas não é exigência universal; embolização requer referência se ausente. (R24)</w:t>
      </w:r>
    </w:p>
    <w:p>
      <w:bookmarkStart w:id="34" w:name="p25"/>
      <w:pPr>
        <w:pStyle w:val="Heading2"/>
        <w:spacing w:before="140" w:after="80"/>
      </w:pPr>
      <w:r>
        <w:t>25 Pancreatite aguda</w:t>
      </w:r>
      <w:bookmarkEnd w:id="34"/>
    </w:p>
    <w:p>
      <w:pPr>
        <w:spacing w:after="60" w:line="240" w:lineRule="auto"/>
      </w:pPr>
      <w:r>
        <w:rPr>
          <w:b/>
        </w:rPr>
        <w:t xml:space="preserve">Quando internar </w:t>
      </w:r>
      <w:r>
        <w:t>Necessidade de analgesia, hidratação, nutrição e vigilância hospitalares, especialmente se houver gravidade.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Lipase, função renal, eletrólitos e perfil hepático; ultrassom para etiologia biliar e investigação adicional selecionada.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Médica, Gastroenterologia e Cirurgia; UTI se falência orgânica.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Tratar e reavaliar cedo. Reservar TC para dúvida diagnóstica ou evolução que a indique; evitar TC precoce apenas para cumprir a meta administrativa. (R25)</w:t>
      </w:r>
    </w:p>
    <w:p>
      <w:bookmarkStart w:id="35" w:name="digest2"/>
      <w:pPr>
        <w:pStyle w:val="Heading1"/>
        <w:pageBreakBefore/>
      </w:pPr>
      <w:r>
        <w:t>Protocolos digestivos e hematológicos continuação</w:t>
      </w:r>
      <w:bookmarkEnd w:id="35"/>
    </w:p>
    <w:p>
      <w:bookmarkStart w:id="36" w:name="p26"/>
      <w:pPr>
        <w:pStyle w:val="Heading2"/>
        <w:spacing w:before="140" w:after="80"/>
      </w:pPr>
      <w:r>
        <w:t>26 Cirrose hepática descompensada</w:t>
      </w:r>
      <w:bookmarkEnd w:id="36"/>
    </w:p>
    <w:p>
      <w:pPr>
        <w:spacing w:after="60" w:line="240" w:lineRule="auto"/>
      </w:pPr>
      <w:r>
        <w:rPr>
          <w:b/>
        </w:rPr>
        <w:t xml:space="preserve">Quando internar </w:t>
      </w:r>
      <w:r>
        <w:t>Ascite sintomática, encefalopatia, infecção, disfunção renal ou sangramento com necessidade de internação.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Hemograma, eletrólitos, função hepática e renal, coagulação e paracentese diagnóstica quando indicada.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 e Gastroenterologia; Infectologia e Nefrologia conforme caso.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Procurar e tratar precipitantes prontamente. Recurso hepatológico avançado depende de referência pactuada. (R26)</w:t>
      </w:r>
    </w:p>
    <w:p>
      <w:bookmarkStart w:id="37" w:name="p27"/>
      <w:pPr>
        <w:pStyle w:val="Heading2"/>
        <w:spacing w:before="140" w:after="80"/>
      </w:pPr>
      <w:r>
        <w:t>27 Diarreia aguda com desidratação ou complicação</w:t>
      </w:r>
      <w:bookmarkEnd w:id="37"/>
    </w:p>
    <w:p>
      <w:pPr>
        <w:spacing w:after="60" w:line="240" w:lineRule="auto"/>
      </w:pPr>
      <w:r>
        <w:rPr>
          <w:b/>
        </w:rPr>
        <w:t xml:space="preserve">Quando internar </w:t>
      </w:r>
      <w:r>
        <w:t>Desidratação importante, intolerância oral, instabilidade, distúrbio metabólico ou comorbidade de alto risco.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Avaliar perfusão, função renal e eletrólitos; exames de fezes conforme gravidade, epidemiologia e imunossupressão.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Médica; Infectologia conforme hipótese.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Reidratação e suporte precoces. Direcionar exames e antimicrobianos à indicação; não usar painel universal de fezes. (R44)</w:t>
      </w:r>
    </w:p>
    <w:p>
      <w:bookmarkStart w:id="38" w:name="p28"/>
      <w:pPr>
        <w:pStyle w:val="Heading2"/>
        <w:spacing w:before="140" w:after="80"/>
      </w:pPr>
      <w:r>
        <w:t>28 Anemia grave sintomática e descompensação hematológica</w:t>
      </w:r>
      <w:bookmarkEnd w:id="38"/>
    </w:p>
    <w:p>
      <w:pPr>
        <w:spacing w:after="60" w:line="240" w:lineRule="auto"/>
      </w:pPr>
      <w:r>
        <w:rPr>
          <w:b/>
        </w:rPr>
        <w:t xml:space="preserve">Quando internar </w:t>
      </w:r>
      <w:r>
        <w:t>Anemia com repercussão, hemólise ou sangramento que demande investigação ou terapia hospitalar.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Hemograma e tendência, reticulócitos e avaliação etiológica; tipagem e compatibilidade se transfusão indicada.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Clínica Médica e Hematologia não oncológica; especialista do foco.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Individualizar transfusão pela clínica e contexto, com controle do sangramento quando presente; evitar gatilho único para todos. (R27)</w:t>
      </w:r>
    </w:p>
    <w:p>
      <w:bookmarkStart w:id="39" w:name="cir1"/>
      <w:pPr>
        <w:pStyle w:val="Heading1"/>
        <w:pageBreakBefore/>
      </w:pPr>
      <w:r>
        <w:t>Protocolos cirúrgicos de 29 a 32</w:t>
      </w:r>
      <w:bookmarkEnd w:id="39"/>
    </w:p>
    <w:p>
      <w:bookmarkStart w:id="40" w:name="p29"/>
      <w:pPr>
        <w:pStyle w:val="Heading2"/>
        <w:spacing w:before="140" w:after="80"/>
      </w:pPr>
      <w:r>
        <w:t>29 Apendicite aguda</w:t>
      </w:r>
      <w:bookmarkEnd w:id="40"/>
    </w:p>
    <w:p>
      <w:pPr>
        <w:spacing w:after="60" w:line="240" w:lineRule="auto"/>
      </w:pPr>
      <w:r>
        <w:rPr>
          <w:b/>
        </w:rPr>
        <w:t xml:space="preserve">Quando internar </w:t>
      </w:r>
      <w:r>
        <w:t>Suspeita ou diagnóstico com necessidade de avaliação cirúrgica e tratamento hospitalar.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Avaliação clínica e laboratório dirigido; ultrassom ou TC conforme risco e dúvida; preparo anestésico proporcional.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Cirurgia Geral, Anestesiologia e hospitalista.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Definir estratégia cedo. Perfuração ou sepse alteram urgência; em apendicite não complicada selecionada, operação pode ocorrer em até 24 horas. (R28)</w:t>
      </w:r>
    </w:p>
    <w:p>
      <w:bookmarkStart w:id="41" w:name="p30"/>
      <w:pPr>
        <w:pStyle w:val="Heading2"/>
        <w:spacing w:before="140" w:after="80"/>
      </w:pPr>
      <w:r>
        <w:t>30 Colecistite aguda</w:t>
      </w:r>
      <w:bookmarkEnd w:id="41"/>
    </w:p>
    <w:p>
      <w:pPr>
        <w:spacing w:after="60" w:line="240" w:lineRule="auto"/>
      </w:pPr>
      <w:r>
        <w:rPr>
          <w:b/>
        </w:rPr>
        <w:t xml:space="preserve">Quando internar </w:t>
      </w:r>
      <w:r>
        <w:t>Inflamação aguda da vesícula com necessidade de tratamento hospitalar e avaliação de intervenção.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Ultrassom, hemograma e avaliação hepática e renal; exames adicionais se dúvida ou suspeita de obstrução da via biliar.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Cirurgia Geral, Anestesiologia e hospitalista.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Planejar abordagem precoce durante a internação, conforme gravidade e condições clínicas; drenagem em situações selecionadas. (R29)</w:t>
      </w:r>
    </w:p>
    <w:p>
      <w:bookmarkStart w:id="42" w:name="p31"/>
      <w:pPr>
        <w:pStyle w:val="Heading2"/>
        <w:spacing w:before="140" w:after="80"/>
      </w:pPr>
      <w:r>
        <w:t>31 Colangite e obstrução biliar infectada</w:t>
      </w:r>
      <w:bookmarkEnd w:id="42"/>
    </w:p>
    <w:p>
      <w:pPr>
        <w:spacing w:after="60" w:line="240" w:lineRule="auto"/>
      </w:pPr>
      <w:r>
        <w:rPr>
          <w:b/>
        </w:rPr>
        <w:t xml:space="preserve">Quando internar </w:t>
      </w:r>
      <w:r>
        <w:t>Infecção biliar associada à obstrução, com ou sem sepse.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Perfil hepático, hemograma, função renal e culturas conforme gravidade; ultrassom e imagem adicional selecionada.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Cirurgia Geral, Gastroenterologia e equipe de drenagem biliar.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Antimicrobiano e avaliação precoce de drenagem. A CPRE exige recurso próprio; choque e deterioração não aguardam 48 ou 72 horas. (R30 R10)</w:t>
      </w:r>
    </w:p>
    <w:p>
      <w:bookmarkStart w:id="43" w:name="p32"/>
      <w:pPr>
        <w:pStyle w:val="Heading2"/>
        <w:spacing w:before="140" w:after="80"/>
      </w:pPr>
      <w:r>
        <w:t>32 Obstrução intestinal</w:t>
      </w:r>
      <w:bookmarkEnd w:id="43"/>
    </w:p>
    <w:p>
      <w:pPr>
        <w:spacing w:after="60" w:line="240" w:lineRule="auto"/>
      </w:pPr>
      <w:r>
        <w:rPr>
          <w:b/>
        </w:rPr>
        <w:t xml:space="preserve">Quando internar </w:t>
      </w:r>
      <w:r>
        <w:t>Obstrução que demande suporte, vigilância e decisão entre tratamento conservador e intervenção.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TC conforme avaliação, hemograma, eletrólitos e função renal; lactato se suspeita de hipoperfusão ou isquemia.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Cirurgia Geral e hospitalista.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Peritonite, estrangulamento ou isquemia exigem decisão urgente. Observação conservadora em casos selecionados requer reavaliação seriada. (R45)</w:t>
      </w:r>
    </w:p>
    <w:p>
      <w:bookmarkStart w:id="44" w:name="cir2"/>
      <w:pPr>
        <w:pStyle w:val="Heading1"/>
        <w:pageBreakBefore/>
      </w:pPr>
      <w:r>
        <w:t>Protocolos cirúrgicos de 33 a 36</w:t>
      </w:r>
      <w:bookmarkEnd w:id="44"/>
    </w:p>
    <w:p>
      <w:bookmarkStart w:id="45" w:name="p33"/>
      <w:pPr>
        <w:pStyle w:val="Heading2"/>
        <w:spacing w:before="140" w:after="80"/>
      </w:pPr>
      <w:r>
        <w:t>33 Perfuração visceral e diverticulite complicada</w:t>
      </w:r>
      <w:bookmarkEnd w:id="45"/>
    </w:p>
    <w:p>
      <w:pPr>
        <w:spacing w:after="60" w:line="240" w:lineRule="auto"/>
      </w:pPr>
      <w:r>
        <w:rPr>
          <w:b/>
        </w:rPr>
        <w:t xml:space="preserve">Quando internar </w:t>
      </w:r>
      <w:r>
        <w:t>Abdome agudo com perfuração, abscesso ou peritonite e necessidade de intervenção ou vigilância hospitalar.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TC se clinicamente viável e útil; laboratório de gravidade, lactato e culturas conforme quadro.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Cirurgia Geral, Anestesiologia e UTI conforme necessidade.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Controlar foco na urgência determinada pela condição clínica. Drenagem percutânea depende de capacidade específica. (R32 R10)</w:t>
      </w:r>
    </w:p>
    <w:p>
      <w:bookmarkStart w:id="46" w:name="p34"/>
      <w:pPr>
        <w:pStyle w:val="Heading2"/>
        <w:spacing w:before="140" w:after="80"/>
      </w:pPr>
      <w:r>
        <w:t>34 Hérnia encarcerada ou estrangulada</w:t>
      </w:r>
      <w:bookmarkEnd w:id="46"/>
    </w:p>
    <w:p>
      <w:pPr>
        <w:spacing w:after="60" w:line="240" w:lineRule="auto"/>
      </w:pPr>
      <w:r>
        <w:rPr>
          <w:b/>
        </w:rPr>
        <w:t xml:space="preserve">Quando internar </w:t>
      </w:r>
      <w:r>
        <w:t>Hérnia dolorosa e irredutível com obstrução, suspeita de isquemia ou necessidade de intervenção.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Avaliação cirúrgica; exames e imagem apenas quando contribuírem sem atrasar tratamento necessário.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Cirurgia Geral e Anestesiologia, com hospitalista.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Suspeita de estrangulamento demanda intervenção imediata. A meta Ouro não autoriza esperar até o final de 24 horas. (R33)</w:t>
      </w:r>
    </w:p>
    <w:p>
      <w:bookmarkStart w:id="47" w:name="p35"/>
      <w:pPr>
        <w:pStyle w:val="Heading2"/>
        <w:spacing w:before="140" w:after="80"/>
      </w:pPr>
      <w:r>
        <w:t>35 Obstrução urinária complicada por cálculo</w:t>
      </w:r>
      <w:bookmarkEnd w:id="47"/>
    </w:p>
    <w:p>
      <w:pPr>
        <w:spacing w:after="60" w:line="240" w:lineRule="auto"/>
      </w:pPr>
      <w:r>
        <w:rPr>
          <w:b/>
        </w:rPr>
        <w:t xml:space="preserve">Quando internar </w:t>
      </w:r>
      <w:r>
        <w:t>Obstrução com infecção, anúria, disfunção renal ou dor e vômitos refratários.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Função renal, eletrólitos, urina e culturas; ultrassom ou TC conforme quadro; avaliar sepse.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Urologia, Anestesiologia e Clínica Médica.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Sistema urinário infectado e obstruído requer descompressão urgente e antibiótico imediato. Tratamento definitivo do cálculo pode ocorrer após controle da infecção. (R31)</w:t>
      </w:r>
    </w:p>
    <w:p>
      <w:bookmarkStart w:id="48" w:name="p36"/>
      <w:pPr>
        <w:pStyle w:val="Heading2"/>
        <w:spacing w:before="140" w:after="80"/>
      </w:pPr>
      <w:r>
        <w:t>36 Retenção urinária e hematúria complicadas</w:t>
      </w:r>
      <w:bookmarkEnd w:id="48"/>
    </w:p>
    <w:p>
      <w:pPr>
        <w:spacing w:after="60" w:line="240" w:lineRule="auto"/>
      </w:pPr>
      <w:r>
        <w:rPr>
          <w:b/>
        </w:rPr>
        <w:t xml:space="preserve">Quando internar </w:t>
      </w:r>
      <w:r>
        <w:t>Repercussão renal, coágulos, necessidade de irrigação, intervenção ou falha de manejo inicial.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Avaliar retenção e função renal; urina; hemograma e coagulação na hematúria; imagem e cistoscopia conforme indicação.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Urologia e Clínica Médica.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Desobstrução pronta quando indicada. Retenção simples resolvida não implica internação automática; confirmar capacidade urológica antes do aceite. (R41)</w:t>
      </w:r>
    </w:p>
    <w:p>
      <w:bookmarkStart w:id="49" w:name="cir3"/>
      <w:pPr>
        <w:pStyle w:val="Heading1"/>
        <w:pageBreakBefore/>
      </w:pPr>
      <w:r>
        <w:t>Protocolos cirúrgicos de 37 a 40</w:t>
      </w:r>
      <w:bookmarkEnd w:id="49"/>
    </w:p>
    <w:p>
      <w:bookmarkStart w:id="50" w:name="p37"/>
      <w:pPr>
        <w:pStyle w:val="Heading2"/>
        <w:spacing w:before="140" w:after="80"/>
      </w:pPr>
      <w:r>
        <w:t>37 Pé diabético infectado e lesão trófica com isquemia</w:t>
      </w:r>
      <w:bookmarkEnd w:id="50"/>
    </w:p>
    <w:p>
      <w:pPr>
        <w:spacing w:after="60" w:line="240" w:lineRule="auto"/>
      </w:pPr>
      <w:r>
        <w:rPr>
          <w:b/>
        </w:rPr>
        <w:t xml:space="preserve">Quando internar </w:t>
      </w:r>
      <w:r>
        <w:t>Infecção moderada ou grave, necrose, foco profundo ou comprometimento vascular com necessidade hospitalar.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Avaliar perfusão, laboratório e imagem de osso ou foco profundo; cultura de tecido quando indicada.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Vascular, Cirurgia ou Ortopedia e Infectologia, com hospitalista.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Abscesso profundo, necrose e isquemia importante exigem avaliação urgente para drenagem, desbridamento e eventual revascularização. (R42)</w:t>
      </w:r>
    </w:p>
    <w:p>
      <w:bookmarkStart w:id="51" w:name="p38"/>
      <w:pPr>
        <w:pStyle w:val="Heading2"/>
        <w:spacing w:before="140" w:after="80"/>
      </w:pPr>
      <w:r>
        <w:t>38 Isquemia aguda de membro</w:t>
      </w:r>
      <w:bookmarkEnd w:id="51"/>
    </w:p>
    <w:p>
      <w:pPr>
        <w:spacing w:after="60" w:line="240" w:lineRule="auto"/>
      </w:pPr>
      <w:r>
        <w:rPr>
          <w:b/>
        </w:rPr>
        <w:t xml:space="preserve">Quando internar </w:t>
      </w:r>
      <w:r>
        <w:t>Redução aguda da perfusão com ameaça à viabilidade do membro.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Exame vascular e viabilidade imediatos; Doppler ou angiotomografia se úteis sem atraso de reperfusão necessária.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Cirurgia Vascular, Anestesiologia e UTI conforme caso.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Decisão urgente no membro ameaçado. Confirmar técnicas disponíveis e referência para intervenção não ofertada. (R40)</w:t>
      </w:r>
    </w:p>
    <w:p>
      <w:bookmarkStart w:id="52" w:name="p39"/>
      <w:pPr>
        <w:pStyle w:val="Heading2"/>
        <w:spacing w:before="140" w:after="80"/>
      </w:pPr>
      <w:r>
        <w:t>39 Fraturas de membros com indicação de internação</w:t>
      </w:r>
      <w:bookmarkEnd w:id="52"/>
    </w:p>
    <w:p>
      <w:pPr>
        <w:spacing w:after="60" w:line="240" w:lineRule="auto"/>
      </w:pPr>
      <w:r>
        <w:rPr>
          <w:b/>
        </w:rPr>
        <w:t xml:space="preserve">Quando internar </w:t>
      </w:r>
      <w:r>
        <w:t>Fratura de fêmur proximal ou outras fraturas que exijam cirurgia ou cuidado hospitalar.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Radiografias, exame neurovascular e exames pré-operatórios proporcionais; TC em indicações específicas.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Ortopedia, Anestesiologia e hospitalista.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Fêmur proximal: cirurgia no dia da admissão ou seguinte, quando clinicamente possível. Fratura exposta ou lesão vascular tem urgência própria. (R34)</w:t>
      </w:r>
    </w:p>
    <w:p>
      <w:bookmarkStart w:id="53" w:name="p40"/>
      <w:pPr>
        <w:pStyle w:val="Heading2"/>
        <w:spacing w:before="140" w:after="80"/>
      </w:pPr>
      <w:r>
        <w:t>40 Infecção odontogênica e bucomaxilofacial profunda</w:t>
      </w:r>
      <w:bookmarkEnd w:id="53"/>
    </w:p>
    <w:p>
      <w:pPr>
        <w:spacing w:after="60" w:line="240" w:lineRule="auto"/>
      </w:pPr>
      <w:r>
        <w:rPr>
          <w:b/>
        </w:rPr>
        <w:t xml:space="preserve">Quando internar </w:t>
      </w:r>
      <w:r>
        <w:t>Infecção disseminada, coleção profunda, disfagia, trismo, sepse ou risco de via aérea.</w:t>
      </w:r>
    </w:p>
    <w:p>
      <w:pPr>
        <w:spacing w:after="60" w:line="240" w:lineRule="auto"/>
      </w:pPr>
      <w:r>
        <w:rPr>
          <w:b/>
        </w:rPr>
        <w:t xml:space="preserve">Avaliação dirigida </w:t>
      </w:r>
      <w:r>
        <w:t>Avaliação imediata da via aérea e exame especializado; laboratório de gravidade e imagem quando segura.</w:t>
      </w:r>
    </w:p>
    <w:p>
      <w:pPr>
        <w:spacing w:after="60" w:line="240" w:lineRule="auto"/>
      </w:pPr>
      <w:r>
        <w:rPr>
          <w:b/>
        </w:rPr>
        <w:t xml:space="preserve">Equipe </w:t>
      </w:r>
      <w:r>
        <w:t>Bucomaxilofacial, Anestesiologia, Infectologia e UTI conforme quadro.</w:t>
      </w:r>
    </w:p>
    <w:p>
      <w:pPr>
        <w:spacing w:after="60" w:line="240" w:lineRule="auto"/>
      </w:pPr>
      <w:r>
        <w:rPr>
          <w:b/>
        </w:rPr>
        <w:t xml:space="preserve">Decisão e tempo </w:t>
      </w:r>
      <w:r>
        <w:t>Proteger via aérea imediatamente se ameaçada. Confirmar equipe para via aérea difícil e drenagem; não aguardar imagem para medida salvadora. (R43)</w:t>
      </w:r>
    </w:p>
    <w:p>
      <w:bookmarkStart w:id="54" w:name="tempos"/>
      <w:pPr>
        <w:pStyle w:val="Heading1"/>
        <w:pageBreakBefore/>
      </w:pPr>
      <w:r>
        <w:t>Marcos das primeiras 72 horas</w:t>
      </w:r>
      <w:bookmarkEnd w:id="54"/>
    </w:p>
    <w:p>
      <w:r>
        <w:t>O objetivo operacional é estabelecer o diagnóstico de trabalho e a conduta mais cedo possível, preferencialmente até 24 horas. A terapia indicada começa quando reconhecida sua necessidade. Culturas, anatomopatologia, exames seriados e a evolução de algumas doenças podem ultrapassar 72 horas sem caracterizar falha.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160"/>
        <w:gridCol w:w="7834"/>
      </w:tblGrid>
      <w:tr>
        <w:trPr>
          <w:tblHeader/>
          <w:cantSplit/>
        </w:trP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Marco proposto</w:t>
            </w:r>
          </w:p>
        </w:tc>
        <w:tc>
          <w:tcPr>
            <w:tcW w:type="dxa" w:w="78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Entrega assistencial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Admissão e primeiras horas</w:t>
            </w:r>
          </w:p>
        </w:tc>
        <w:tc>
          <w:tcPr>
            <w:tcW w:type="dxa" w:w="78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Reclassificar risco; reconhecer emergência; recuperar exames e tratamentos da origem; iniciar suporte, investigação e terapia indicados.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6 horas</w:t>
            </w:r>
          </w:p>
        </w:tc>
        <w:tc>
          <w:tcPr>
            <w:tcW w:type="dxa" w:w="78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Rever estabilidade, hipóteses, resultados críticos, resposta inicial e recurso necessário. Pendência urgente deve ter responsável e escalonamento.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12 horas</w:t>
            </w:r>
          </w:p>
        </w:tc>
        <w:tc>
          <w:tcPr>
            <w:tcW w:type="dxa" w:w="78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Reavaliar plano e interconsultas decisivas. Nos cirúrgicos, registrar indicação, prioridade e viabilidade de intervenção ou referência.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18 horas</w:t>
            </w:r>
          </w:p>
        </w:tc>
        <w:tc>
          <w:tcPr>
            <w:tcW w:type="dxa" w:w="78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Localizar barreiras ainda capazes de comprometer a conclusão até 24 horas e acionar a liderança responsável.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Até 24 horas Ouro</w:t>
            </w:r>
          </w:p>
        </w:tc>
        <w:tc>
          <w:tcPr>
            <w:tcW w:type="dxa" w:w="78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Diagnóstico de trabalho suficiente, exames essenciais já interpretados, avaliação especializada quando necessária e conduta documentada e iniciada.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Mais de 24 até 48 horas Prata</w:t>
            </w:r>
          </w:p>
        </w:tc>
        <w:tc>
          <w:tcPr>
            <w:tcW w:type="dxa" w:w="78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Resolver complexidade adicional; revisar hipóteses, tratamentos e necessidade de novos exames; justificar pendências.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Mais de 48 até 72 horas Bronze</w:t>
            </w:r>
          </w:p>
        </w:tc>
        <w:tc>
          <w:tcPr>
            <w:tcW w:type="dxa" w:w="78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Revisão ampliada com médico responsável e especialistas pertinentes; conduta definida ou plano explícito de investigação, referência e seguimento.</w:t>
            </w:r>
          </w:p>
        </w:tc>
      </w:tr>
      <w:tr>
        <w:trPr>
          <w:cantSplit/>
        </w:trPr>
        <w:tc>
          <w:tcPr>
            <w:tcW w:type="dxa" w:w="2160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Mais de 72 horas</w:t>
            </w:r>
          </w:p>
        </w:tc>
        <w:tc>
          <w:tcPr>
            <w:tcW w:type="dxa" w:w="7834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Caso fora da meta inicial; analisar causa e manter tratamento e investigação seguros. Não forçar diagnóstico nem alta.</w:t>
            </w:r>
          </w:p>
        </w:tc>
      </w:tr>
    </w:tbl>
    <w:p>
      <w:r/>
    </w:p>
    <w:p>
      <w:pPr>
        <w:pStyle w:val="Heading2"/>
      </w:pPr>
      <w:r>
        <w:t>Relógios que precedem Ouro Prata e Bronze</w:t>
      </w:r>
    </w:p>
    <w:p>
      <w:r>
        <w:t>Exemplos: ECG em até 10 minutos na suspeita de síndrome coronariana R11; antimicrobiano idealmente em 1 hora no choque ou sepse provável ou definida R10; avaliação imediata de reperfusão no AVC elegível R12; drenagem urgente na obstrução urinária infectada R31; decisão imediata na ameaça à via aérea ou ao membro.</w:t>
      </w:r>
    </w:p>
    <w:p>
      <w:r>
        <w:t>Registrar dois tempos: o tempo de rede começa no primeiro atendimento ou reconhecimento específico; o tempo interno começa na chegada ao Canaã. Uma transferência não reinicia a janela clínica nem elimina atrasos anteriores.</w:t>
      </w:r>
    </w:p>
    <w:p>
      <w:bookmarkStart w:id="55" w:name="indicadores"/>
      <w:pPr>
        <w:pStyle w:val="Heading1"/>
        <w:pageBreakBefore/>
      </w:pPr>
      <w:r>
        <w:t>Indicadores e critérios de classificação</w:t>
      </w:r>
      <w:bookmarkEnd w:id="55"/>
    </w:p>
    <w:p>
      <w:r>
        <w:t>A classificação mede conclusão da avaliação inicial e execução da conduta, sem confundir rapidez com acerto diagnóstico ou alta. Registrar diagnósticos provisórios e alterações posteriores com transparência.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76"/>
        <w:gridCol w:w="7618"/>
      </w:tblGrid>
      <w:tr>
        <w:trPr>
          <w:tblHeader/>
          <w:cantSplit/>
        </w:trPr>
        <w:tc>
          <w:tcPr>
            <w:tcW w:type="dxa" w:w="23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Indicador</w:t>
            </w:r>
          </w:p>
        </w:tc>
        <w:tc>
          <w:tcPr>
            <w:tcW w:type="dxa" w:w="761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Definição operacional proposta</w:t>
            </w:r>
          </w:p>
        </w:tc>
      </w:tr>
      <w:tr>
        <w:trPr>
          <w:cantSplit/>
        </w:trPr>
        <w:tc>
          <w:tcPr>
            <w:tcW w:type="dxa" w:w="23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Conclusão inicial</w:t>
            </w:r>
          </w:p>
        </w:tc>
        <w:tc>
          <w:tcPr>
            <w:tcW w:type="dxa" w:w="761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Data e hora em que os exames essenciais foram interpretados, as avaliações necessárias ocorreram e o médico registrou diagnóstico de trabalho e conduta iniciada ou decisão justificada de não tratar.</w:t>
            </w:r>
          </w:p>
        </w:tc>
      </w:tr>
      <w:tr>
        <w:trPr>
          <w:cantSplit/>
        </w:trPr>
        <w:tc>
          <w:tcPr>
            <w:tcW w:type="dxa" w:w="23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Ouro</w:t>
            </w:r>
          </w:p>
        </w:tc>
        <w:tc>
          <w:tcPr>
            <w:tcW w:type="dxa" w:w="761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Número de episódios com conclusão em até 24 h dividido pelo total de episódios elegíveis admitidos na coorte, multiplicado por 100.</w:t>
            </w:r>
          </w:p>
        </w:tc>
      </w:tr>
      <w:tr>
        <w:trPr>
          <w:cantSplit/>
        </w:trPr>
        <w:tc>
          <w:tcPr>
            <w:tcW w:type="dxa" w:w="23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Prata</w:t>
            </w:r>
          </w:p>
        </w:tc>
        <w:tc>
          <w:tcPr>
            <w:tcW w:type="dxa" w:w="761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Conclusão em mais de 24 até 48 h, com o mesmo denominador.</w:t>
            </w:r>
          </w:p>
        </w:tc>
      </w:tr>
      <w:tr>
        <w:trPr>
          <w:cantSplit/>
        </w:trPr>
        <w:tc>
          <w:tcPr>
            <w:tcW w:type="dxa" w:w="23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Bronze</w:t>
            </w:r>
          </w:p>
        </w:tc>
        <w:tc>
          <w:tcPr>
            <w:tcW w:type="dxa" w:w="761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Conclusão em mais de 48 até 72 h, com o mesmo denominador.</w:t>
            </w:r>
          </w:p>
        </w:tc>
      </w:tr>
      <w:tr>
        <w:trPr>
          <w:cantSplit/>
        </w:trPr>
        <w:tc>
          <w:tcPr>
            <w:tcW w:type="dxa" w:w="23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Fora da meta e sem dado</w:t>
            </w:r>
          </w:p>
        </w:tc>
        <w:tc>
          <w:tcPr>
            <w:tcW w:type="dxa" w:w="761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Apresentar separadamente conclusão após 72 h, ausência de conclusão e ausência de horários. Não retirar casos difíceis silenciosamente.</w:t>
            </w:r>
          </w:p>
        </w:tc>
      </w:tr>
      <w:tr>
        <w:trPr>
          <w:cantSplit/>
        </w:trPr>
        <w:tc>
          <w:tcPr>
            <w:tcW w:type="dxa" w:w="23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Tempo de rede</w:t>
            </w:r>
          </w:p>
        </w:tc>
        <w:tc>
          <w:tcPr>
            <w:tcW w:type="dxa" w:w="761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Intervalos entre primeiro atendimento, indicação de internação, solicitação regulatória, aceite, saída da origem e chegada hospitalar.</w:t>
            </w:r>
          </w:p>
        </w:tc>
      </w:tr>
      <w:tr>
        <w:trPr>
          <w:cantSplit/>
        </w:trPr>
        <w:tc>
          <w:tcPr>
            <w:tcW w:type="dxa" w:w="23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Exames e interconsulta</w:t>
            </w:r>
          </w:p>
        </w:tc>
        <w:tc>
          <w:tcPr>
            <w:tcW w:type="dxa" w:w="761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Mediana e percentil 90 para solicitação, coleta ou execução, laudo, leitura clínica e avaliação especializada, conforme prioridade.</w:t>
            </w:r>
          </w:p>
        </w:tc>
      </w:tr>
      <w:tr>
        <w:trPr>
          <w:cantSplit/>
        </w:trPr>
        <w:tc>
          <w:tcPr>
            <w:tcW w:type="dxa" w:w="23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Intervenção urgente</w:t>
            </w:r>
          </w:p>
        </w:tc>
        <w:tc>
          <w:tcPr>
            <w:tcW w:type="dxa" w:w="761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Adesão aos prazos específicos de cada condição, independentemente da categoria Ouro Prata ou Bronze.</w:t>
            </w:r>
          </w:p>
        </w:tc>
      </w:tr>
      <w:tr>
        <w:trPr>
          <w:cantSplit/>
        </w:trPr>
        <w:tc>
          <w:tcPr>
            <w:tcW w:type="dxa" w:w="237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Segurança e continuidade</w:t>
            </w:r>
          </w:p>
        </w:tc>
        <w:tc>
          <w:tcPr>
            <w:tcW w:type="dxa" w:w="761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Óbitos, deterioração, transferência não programada à UTI, eventos adversos, reconsulta em 72 h e reinternação em 7 e 30 dias; alta com plano e pendências atribuídas.</w:t>
            </w:r>
          </w:p>
        </w:tc>
      </w:tr>
    </w:tbl>
    <w:p>
      <w:r/>
    </w:p>
    <w:p>
      <w:r>
        <w:t>Ouro, Prata e Bronze são faixas exclusivas. Para a proporção resolvida em até 48 horas, somar Ouro e Prata; em até 72 horas, somar as três faixas. A coorte precisa de seguimento suficiente e regras prévias para óbitos, transferências, evasões e dados ausentes.</w:t>
      </w:r>
    </w:p>
    <w:p>
      <w:r>
        <w:t>Pacientes transferidos para recurso externo devem ter decisão e tempo próprios; não podem melhorar artificialmente o desempenho diagnóstico. Estratificar indicadores por protocolo, gravidade, origem, turno e recurso utilizado. Comparar mortalidade e permanência com ajuste de perfil e gravidade antes de atribuir efeito ao programa.</w:t>
      </w:r>
    </w:p>
    <w:p>
      <w:bookmarkStart w:id="56" w:name="dados"/>
      <w:pPr>
        <w:pStyle w:val="Heading1"/>
        <w:pageBreakBefore/>
      </w:pPr>
      <w:r>
        <w:t>Dados para o ranking local e implantação</w:t>
      </w:r>
      <w:bookmarkEnd w:id="56"/>
    </w:p>
    <w:p>
      <w:pPr>
        <w:pStyle w:val="Heading2"/>
      </w:pPr>
      <w:r>
        <w:t>Base a solicitar à gestão e às unidades</w:t>
      </w:r>
    </w:p>
    <w:p>
      <w:r>
        <w:t>Solicitar uma série dos últimos 12 meses completos disponíveis por CNES, com período, data de extração e situação de fechamento. Considerar todas as solicitações adultas de internação, inclusive não transferidas; analisar transferências realizadas em tabela separada.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88"/>
        <w:gridCol w:w="7906"/>
      </w:tblGrid>
      <w:tr>
        <w:trPr>
          <w:tblHeader/>
          <w:cantSplit/>
        </w:trPr>
        <w:tc>
          <w:tcPr>
            <w:tcW w:type="dxa" w:w="208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Domínio</w:t>
            </w:r>
          </w:p>
        </w:tc>
        <w:tc>
          <w:tcPr>
            <w:tcW w:type="dxa" w:w="790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173E57"/>
          </w:tcPr>
          <w:p>
            <w:pPr>
              <w:spacing w:after="40" w:line="245" w:lineRule="auto"/>
            </w:pPr>
            <w:r>
              <w:rPr>
                <w:b/>
                <w:color w:val="FFFFFF"/>
                <w:sz w:val="20"/>
              </w:rPr>
              <w:t>Campos mínimos</w:t>
            </w:r>
          </w:p>
        </w:tc>
      </w:tr>
      <w:tr>
        <w:trPr>
          <w:cantSplit/>
        </w:trPr>
        <w:tc>
          <w:tcPr>
            <w:tcW w:type="dxa" w:w="208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Origem e episódio</w:t>
            </w:r>
          </w:p>
        </w:tc>
        <w:tc>
          <w:tcPr>
            <w:tcW w:type="dxa" w:w="790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Identificador pseudonimizado do episódio, CNES e nome da unidade, idade ou faixa etária adulta e datas de atendimento.</w:t>
            </w:r>
          </w:p>
        </w:tc>
      </w:tr>
      <w:tr>
        <w:trPr>
          <w:cantSplit/>
        </w:trPr>
        <w:tc>
          <w:tcPr>
            <w:tcW w:type="dxa" w:w="208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Motivo e diagnóstico</w:t>
            </w:r>
          </w:p>
        </w:tc>
        <w:tc>
          <w:tcPr>
            <w:tcW w:type="dxa" w:w="790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Queixa ou síndrome inicial, motivo da solicitação, CID inicial, diagnóstico principal final e condições associadas.</w:t>
            </w:r>
          </w:p>
        </w:tc>
      </w:tr>
      <w:tr>
        <w:trPr>
          <w:cantSplit/>
        </w:trPr>
        <w:tc>
          <w:tcPr>
            <w:tcW w:type="dxa" w:w="208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Recurso e gravidade</w:t>
            </w:r>
          </w:p>
        </w:tc>
        <w:tc>
          <w:tcPr>
            <w:tcW w:type="dxa" w:w="790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Leito clínico, cirúrgico ou UTI solicitado; especialidade; suporte ventilatório, vasopressor, diálise, procedimento ou cirurgia necessários.</w:t>
            </w:r>
          </w:p>
        </w:tc>
      </w:tr>
      <w:tr>
        <w:trPr>
          <w:cantSplit/>
        </w:trPr>
        <w:tc>
          <w:tcPr>
            <w:tcW w:type="dxa" w:w="208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Tempos</w:t>
            </w:r>
          </w:p>
        </w:tc>
        <w:tc>
          <w:tcPr>
            <w:tcW w:type="dxa" w:w="790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Indicação de internação, inserção regulatória, atualizações, aceite, saída da origem, chegada ao hospital e intervenção.</w:t>
            </w:r>
          </w:p>
        </w:tc>
      </w:tr>
      <w:tr>
        <w:trPr>
          <w:cantSplit/>
        </w:trPr>
        <w:tc>
          <w:tcPr>
            <w:tcW w:type="dxa" w:w="208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Desfecho</w:t>
            </w:r>
          </w:p>
        </w:tc>
        <w:tc>
          <w:tcPr>
            <w:tcW w:type="dxa" w:w="790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0F5F8"/>
          </w:tcPr>
          <w:p>
            <w:pPr>
              <w:spacing w:after="40" w:line="245" w:lineRule="auto"/>
            </w:pPr>
            <w:r>
              <w:rPr>
                <w:sz w:val="20"/>
              </w:rPr>
              <w:t>Transferência e destino, alta na origem, mudança de perfil, cancelamento, evasão ou óbito; motivo de recusa e recurso indisponível.</w:t>
            </w:r>
          </w:p>
        </w:tc>
      </w:tr>
      <w:tr>
        <w:trPr>
          <w:cantSplit/>
        </w:trPr>
        <w:tc>
          <w:tcPr>
            <w:tcW w:type="dxa" w:w="2088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Qualidade e proteção</w:t>
            </w:r>
          </w:p>
        </w:tc>
        <w:tc>
          <w:tcPr>
            <w:tcW w:type="dxa" w:w="7906"/>
            <w:vAlign w:val="center"/>
            <w:tcMar>
              <w:top w:w="80" w:type="dxa"/>
              <w:left w:w="80" w:type="dxa"/>
              <w:bottom w:w="80" w:type="dxa"/>
              <w:right w:w="80" w:type="dxa"/>
            </w:tcMar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</w:tcPr>
          <w:p>
            <w:pPr>
              <w:spacing w:after="40" w:line="245" w:lineRule="auto"/>
            </w:pPr>
            <w:r>
              <w:rPr>
                <w:sz w:val="20"/>
              </w:rPr>
              <w:t>Completude, duplicidades, regra de vinculação e dicionário de agrupamento; acesso restrito à base individual e divulgação agregada.</w:t>
            </w:r>
          </w:p>
        </w:tc>
      </w:tr>
    </w:tbl>
    <w:p>
      <w:r/>
    </w:p>
    <w:p>
      <w:r>
        <w:t>Para ordenar frequência, contar episódios únicos pelo motivo principal da solicitação e, separadamente, pelo diagnóstico principal final. Consolidar atualizações do mesmo episódio, manter casos inespecíficos e medir dados ausentes. Sepse, foco infeccioso e necessidade de UTI podem coexistir sem multiplicar a internação.</w:t>
      </w:r>
    </w:p>
    <w:p>
      <w:pPr>
        <w:pStyle w:val="Heading2"/>
      </w:pPr>
      <w:r>
        <w:t>Condições para pactuar o recebimento</w:t>
      </w:r>
    </w:p>
    <w:p>
      <w:r>
        <w:t>O aceite depende de equipe e recurso efetivamente disponíveis. Priorizar linhas clínicas compatíveis e organizar referências para hemodinâmica, trombectomia, neurocirurgia craniana, CPRE, radiologia intervencionista e procedimentos vasculares não ofertados.</w:t>
      </w:r>
    </w:p>
    <w:p>
      <w:r>
        <w:t>Antes da operação, definir cobertura de laboratório e imagem, exames críticos, telemetria, suporte ventilatório, terapia renal substitutiva, hemoterapia, endoscopia, anestesia, cirurgia, transporte e contato de referência. Transformar cada ficha em protocolo local com critérios, responsabilidades, medicamentos, doses, ajustes e contingência aprovados.</w:t>
      </w:r>
    </w:p>
    <w:p>
      <w:r>
        <w:t>Na revisão territorial, testar a relevância de tuberculose e infecções associadas ao HIV, intoxicações e abstinência, dengue e urgências de coluna. Esses fluxos não podem ser excluídos apenas por não integrarem a carteira inicial de 40 linhas.</w:t>
      </w:r>
    </w:p>
    <w:p>
      <w:bookmarkStart w:id="57" w:name="refs"/>
      <w:pPr>
        <w:pStyle w:val="Heading1"/>
        <w:pageBreakBefore/>
      </w:pPr>
      <w:r>
        <w:t>Referências</w:t>
      </w:r>
      <w:bookmarkEnd w:id="57"/>
    </w:p>
    <w:p>
      <w:r>
        <w:t>Fontes consultadas em 4 de novembro de 2026. Os links permitem consultar o documento original. As fichas são síntese de planejamento e não reproduzem integralmente os algoritmos das sociedades.</w:t>
      </w:r>
    </w:p>
    <w:p>
      <w:pPr>
        <w:spacing w:after="160"/>
      </w:pPr>
      <w:r/>
      <w:r>
        <w:rPr>
          <w:b/>
        </w:rPr>
        <w:t xml:space="preserve">R01 Hospital Canaã. </w:t>
      </w:r>
      <w:r>
        <w:t xml:space="preserve">Prévia do projeto e seção Área de Saúde examinadas em 4 de novembro de 2026. </w:t>
      </w:r>
      <w:hyperlink r:id="rId10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R02 SMS São Paulo. </w:t>
      </w:r>
      <w:r>
        <w:t xml:space="preserve">Unidades de Pronto Atendimento e papel na rede. </w:t>
      </w:r>
      <w:hyperlink r:id="rId11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R03 SMS São Paulo. </w:t>
      </w:r>
      <w:r>
        <w:t xml:space="preserve">Consulta 001 de 2026 e caracterização da rede central em fevereiro de 2026. </w:t>
      </w:r>
      <w:hyperlink r:id="rId12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R04 SMS São Paulo. </w:t>
      </w:r>
      <w:r>
        <w:t xml:space="preserve">UPA Vila Mariana e capacidade anunciada em 2021. </w:t>
      </w:r>
      <w:hyperlink r:id="rId13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R05 SMS São Paulo. </w:t>
      </w:r>
      <w:r>
        <w:t xml:space="preserve">UPA Mooca e capacidade anunciada em 2021. </w:t>
      </w:r>
      <w:hyperlink r:id="rId14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R06 SMS São Paulo. </w:t>
      </w:r>
      <w:r>
        <w:t xml:space="preserve">UPA III Lapa e capacidade anunciada em janeiro de 2025. </w:t>
      </w:r>
      <w:hyperlink r:id="rId15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R07 SMS São Paulo. </w:t>
      </w:r>
      <w:r>
        <w:t xml:space="preserve">Plano Municipal de Saúde 2026 a 2029 atualizado em fevereiro de 2026 tabela 2 página 30. </w:t>
      </w:r>
      <w:hyperlink r:id="rId16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R08 SMS São Paulo. </w:t>
      </w:r>
      <w:r>
        <w:t xml:space="preserve">SIH SUS notas técnicas das internações a partir de 2008. </w:t>
      </w:r>
      <w:hyperlink r:id="rId17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R09 Konder e O Dwyer. </w:t>
      </w:r>
      <w:r>
        <w:t xml:space="preserve">As Unidades de Pronto Atendimento como unidades de internação Physis 2019 dados de 2016 a 2017. </w:t>
      </w:r>
      <w:hyperlink r:id="rId18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R10 SCCM e ESICM. </w:t>
      </w:r>
      <w:r>
        <w:t xml:space="preserve">Surviving Sepsis Campaign diretrizes do adulto 2026. </w:t>
      </w:r>
      <w:hyperlink r:id="rId19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R11 ACC e AHA. </w:t>
      </w:r>
      <w:r>
        <w:t xml:space="preserve">Síndromes coronarianas agudas diretriz 2025. </w:t>
      </w:r>
      <w:hyperlink r:id="rId20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R12 AHA e ASA. </w:t>
      </w:r>
      <w:r>
        <w:t xml:space="preserve">Manejo precoce do AVC isquêmico diretriz 2026. </w:t>
      </w:r>
      <w:hyperlink r:id="rId21">
        <w:r>
          <w:rPr>
            <w:color w:val="164E70"/>
          </w:rPr>
          <w:t>Consultar fonte</w:t>
        </w:r>
      </w:hyperlink>
    </w:p>
    <w:p>
      <w:bookmarkStart w:id="58" w:name="refs12"/>
      <w:pPr>
        <w:pStyle w:val="Heading1"/>
        <w:pageBreakBefore/>
      </w:pPr>
      <w:r>
        <w:t>Referências continuação</w:t>
      </w:r>
      <w:bookmarkEnd w:id="58"/>
    </w:p>
    <w:p>
      <w:pPr>
        <w:spacing w:after="160"/>
      </w:pPr>
      <w:r/>
      <w:r>
        <w:rPr>
          <w:b/>
        </w:rPr>
        <w:t xml:space="preserve">R13 ESC. </w:t>
      </w:r>
      <w:r>
        <w:t xml:space="preserve">Insuficiência cardíaca aguda e crônica diretriz 2021. </w:t>
      </w:r>
      <w:hyperlink r:id="rId22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R14 ESC. </w:t>
      </w:r>
      <w:r>
        <w:t xml:space="preserve">Pressão arterial elevada e hipertensão diretriz 2024. </w:t>
      </w:r>
      <w:hyperlink r:id="rId23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R15 AHA e ACC. </w:t>
      </w:r>
      <w:r>
        <w:t xml:space="preserve">Embolia pulmonar aguda no adulto diretriz 2026. </w:t>
      </w:r>
      <w:hyperlink r:id="rId24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R16 ATS. </w:t>
      </w:r>
      <w:r>
        <w:t xml:space="preserve">Pneumonia comunitária diretriz publicada em 2025 na edição de janeiro de 2026. </w:t>
      </w:r>
      <w:hyperlink r:id="rId25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R17 GOLD. </w:t>
      </w:r>
      <w:r>
        <w:t xml:space="preserve">Relatório e guia de bolso DPOC 2026. </w:t>
      </w:r>
      <w:hyperlink r:id="rId26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R18 GINA. </w:t>
      </w:r>
      <w:r>
        <w:t xml:space="preserve">Estratégia global para asma 2026. </w:t>
      </w:r>
      <w:hyperlink r:id="rId27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R19 IDSA. </w:t>
      </w:r>
      <w:r>
        <w:t xml:space="preserve">Infecção urinária complicada diretriz 2025. </w:t>
      </w:r>
      <w:hyperlink r:id="rId28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R20 NICE. </w:t>
      </w:r>
      <w:r>
        <w:t xml:space="preserve">NG240 meningite bacteriana e doença meningocócica 2024. </w:t>
      </w:r>
      <w:hyperlink r:id="rId29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R21 NICE. </w:t>
      </w:r>
      <w:r>
        <w:t xml:space="preserve">NG148 lesão renal aguda recomendações. </w:t>
      </w:r>
      <w:hyperlink r:id="rId30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R22 ADA e sociedades participantes. </w:t>
      </w:r>
      <w:r>
        <w:t xml:space="preserve">Crises hiperglicêmicas no adulto consenso 2024. </w:t>
      </w:r>
      <w:hyperlink r:id="rId31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R23 ESGE. </w:t>
      </w:r>
      <w:r>
        <w:t xml:space="preserve">Hemorragia por úlcera péptica atualização 2026. </w:t>
      </w:r>
      <w:hyperlink r:id="rId32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R24 ACG. </w:t>
      </w:r>
      <w:r>
        <w:t xml:space="preserve">Hemorragia digestiva baixa diretriz atualizada 2023. </w:t>
      </w:r>
      <w:hyperlink r:id="rId33">
        <w:r>
          <w:rPr>
            <w:color w:val="164E70"/>
          </w:rPr>
          <w:t>Consultar fonte</w:t>
        </w:r>
      </w:hyperlink>
    </w:p>
    <w:p>
      <w:bookmarkStart w:id="59" w:name="refs24"/>
      <w:pPr>
        <w:pStyle w:val="Heading1"/>
        <w:pageBreakBefore/>
      </w:pPr>
      <w:r>
        <w:t>Referências continuação</w:t>
      </w:r>
      <w:bookmarkEnd w:id="59"/>
    </w:p>
    <w:p>
      <w:pPr>
        <w:spacing w:after="160"/>
      </w:pPr>
      <w:r/>
      <w:r>
        <w:rPr>
          <w:b/>
        </w:rPr>
        <w:t xml:space="preserve">R25 ACG. </w:t>
      </w:r>
      <w:r>
        <w:t xml:space="preserve">Pancreatite aguda resumo da diretriz 2024. </w:t>
      </w:r>
      <w:hyperlink r:id="rId34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R26 AASLD. </w:t>
      </w:r>
      <w:r>
        <w:t xml:space="preserve">Ascite peritonite bacteriana e síndrome hepatorrenal orientação 2021. </w:t>
      </w:r>
      <w:hyperlink r:id="rId35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R27 AABB. </w:t>
      </w:r>
      <w:r>
        <w:t xml:space="preserve">Transfusão de hemácias diretrizes internacionais 2023. </w:t>
      </w:r>
      <w:hyperlink r:id="rId36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R28 WSES. </w:t>
      </w:r>
      <w:r>
        <w:t xml:space="preserve">Apendicite edição 2025 publicada em janeiro de 2026. </w:t>
      </w:r>
      <w:hyperlink r:id="rId37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R29 WSES. </w:t>
      </w:r>
      <w:r>
        <w:t xml:space="preserve">Colecistite calculosa aguda diretriz 2020. </w:t>
      </w:r>
      <w:hyperlink r:id="rId38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R30 ASGE. </w:t>
      </w:r>
      <w:r>
        <w:t xml:space="preserve">Colangite e drenagem biliar diretriz 2021. </w:t>
      </w:r>
      <w:hyperlink r:id="rId39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R31 EAU. </w:t>
      </w:r>
      <w:r>
        <w:t xml:space="preserve">Urolitíase diretriz 2026 e descompressão de obstrução infectada. </w:t>
      </w:r>
      <w:hyperlink r:id="rId40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R32 WSES. </w:t>
      </w:r>
      <w:r>
        <w:t xml:space="preserve">Diverticulite aguda em emergência atualização 2020. </w:t>
      </w:r>
      <w:hyperlink r:id="rId41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R33 WSES. </w:t>
      </w:r>
      <w:r>
        <w:t xml:space="preserve">Hérnias abdominais complicadas atualização 2017. </w:t>
      </w:r>
      <w:hyperlink r:id="rId42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R34 NICE. </w:t>
      </w:r>
      <w:r>
        <w:t xml:space="preserve">CG124 fratura de quadril e momento da cirurgia. </w:t>
      </w:r>
      <w:hyperlink r:id="rId43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R35 NICE. </w:t>
      </w:r>
      <w:r>
        <w:t xml:space="preserve">NG217 estado de mal crises recorrentes e prolongadas. </w:t>
      </w:r>
      <w:hyperlink r:id="rId44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R36 NICE. </w:t>
      </w:r>
      <w:r>
        <w:t xml:space="preserve">CG103 delirium prevenção diagnóstico e manejo. </w:t>
      </w:r>
      <w:hyperlink r:id="rId45">
        <w:r>
          <w:rPr>
            <w:color w:val="164E70"/>
          </w:rPr>
          <w:t>Consultar fonte</w:t>
        </w:r>
      </w:hyperlink>
    </w:p>
    <w:p>
      <w:bookmarkStart w:id="60" w:name="refs36"/>
      <w:pPr>
        <w:pStyle w:val="Heading1"/>
        <w:pageBreakBefore/>
      </w:pPr>
      <w:r>
        <w:t>Referências continuação</w:t>
      </w:r>
      <w:bookmarkEnd w:id="60"/>
    </w:p>
    <w:p>
      <w:pPr>
        <w:spacing w:after="160"/>
      </w:pPr>
      <w:r/>
      <w:r>
        <w:rPr>
          <w:b/>
        </w:rPr>
        <w:t xml:space="preserve">R37 IDSA. </w:t>
      </w:r>
      <w:r>
        <w:t xml:space="preserve">Infecções de pele e partes moles diretriz 2014. </w:t>
      </w:r>
      <w:hyperlink r:id="rId46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R38 AHA e ASA. </w:t>
      </w:r>
      <w:r>
        <w:t xml:space="preserve">Hemorragia intracerebral espontânea diretriz 2022. </w:t>
      </w:r>
      <w:hyperlink r:id="rId47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R39 AHA. </w:t>
      </w:r>
      <w:r>
        <w:t xml:space="preserve">Suporte avançado de vida no adulto diretriz 2025. </w:t>
      </w:r>
      <w:hyperlink r:id="rId48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R40 ESVS. </w:t>
      </w:r>
      <w:r>
        <w:t xml:space="preserve">Isquemia aguda de membro diretriz 2020. </w:t>
      </w:r>
      <w:hyperlink r:id="rId49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R41 NICE. </w:t>
      </w:r>
      <w:r>
        <w:t xml:space="preserve">CG97 sintomas urinários e retenção no homem. </w:t>
      </w:r>
      <w:hyperlink r:id="rId50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R42 IWGDF e IDSA. </w:t>
      </w:r>
      <w:r>
        <w:t xml:space="preserve">Infecções do pé relacionado ao diabetes diretriz 2023. </w:t>
      </w:r>
      <w:hyperlink r:id="rId51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R43 SDCEP NHS Scotland. </w:t>
      </w:r>
      <w:r>
        <w:t xml:space="preserve">Abscesso dentário e encaminhamento hospitalar por gravidade. </w:t>
      </w:r>
      <w:hyperlink r:id="rId52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R44 IDSA. </w:t>
      </w:r>
      <w:r>
        <w:t xml:space="preserve">Diarreia infecciosa diretriz 2017. </w:t>
      </w:r>
      <w:hyperlink r:id="rId53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R45 WSES. </w:t>
      </w:r>
      <w:r>
        <w:t xml:space="preserve">Obstrução intestinal por aderências atualização Bologna de 2017 publicada em 2018. </w:t>
      </w:r>
      <w:hyperlink r:id="rId54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R46 ADA. </w:t>
      </w:r>
      <w:r>
        <w:t xml:space="preserve">Cuidados hospitalares e hipoglicemia Standards of Care 2026. </w:t>
      </w:r>
      <w:hyperlink r:id="rId55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R47 Ministério da Saúde. </w:t>
      </w:r>
      <w:r>
        <w:t xml:space="preserve">Nota Técnica Conjunta 87 de 2026 sobre SRAG e resposta assistencial. </w:t>
      </w:r>
      <w:hyperlink r:id="rId56">
        <w:r>
          <w:rPr>
            <w:color w:val="164E70"/>
          </w:rPr>
          <w:t>Consultar fonte</w:t>
        </w:r>
      </w:hyperlink>
    </w:p>
    <w:p>
      <w:pPr>
        <w:spacing w:after="160"/>
      </w:pPr>
      <w:r/>
      <w:r>
        <w:rPr>
          <w:b/>
        </w:rPr>
        <w:t xml:space="preserve">R48 ATS e IDSA. </w:t>
      </w:r>
      <w:r>
        <w:t xml:space="preserve">Pneumonia comunitária no adulto diretriz abrangente 2019. </w:t>
      </w:r>
      <w:hyperlink r:id="rId57">
        <w:r>
          <w:rPr>
            <w:color w:val="164E70"/>
          </w:rPr>
          <w:t>Consultar fonte</w:t>
        </w:r>
      </w:hyperlink>
    </w:p>
    <w:sectPr w:rsidR="00FC693F" w:rsidRPr="0006063C" w:rsidSect="00034616">
      <w:footerReference w:type="default" r:id="rId9"/>
      <w:pgSz w:w="12240" w:h="15840"/>
      <w:pgMar w:top="979" w:right="1123" w:bottom="936" w:left="112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666666"/>
        <w:sz w:val="16"/>
      </w:rPr>
      <w:t xml:space="preserve">Hospital Canaã | Planejamento assistencial |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0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12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12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80" w:after="120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120" w:line="240" w:lineRule="auto" w:before="180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180" w:after="120"/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lovable.dev/preview/7itH38pa0hl5uhFTYyig90WKTIwqHbMs" TargetMode="External"/><Relationship Id="rId11" Type="http://schemas.openxmlformats.org/officeDocument/2006/relationships/hyperlink" Target="https://prefeitura.sp.gov.br/web/saude/w/unidades-pronto-atendimento-upa" TargetMode="External"/><Relationship Id="rId12" Type="http://schemas.openxmlformats.org/officeDocument/2006/relationships/hyperlink" Target="https://prefeitura.sp.gov.br/documents/d/saude/edital-consulta-para-cg-emergencial-centro-pdf" TargetMode="External"/><Relationship Id="rId13" Type="http://schemas.openxmlformats.org/officeDocument/2006/relationships/hyperlink" Target="https://prefeitura.sp.gov.br/web/saude/w/noticias/316545" TargetMode="External"/><Relationship Id="rId14" Type="http://schemas.openxmlformats.org/officeDocument/2006/relationships/hyperlink" Target="https://prefeitura.sp.gov.br/web/saude/w/noticias/318508" TargetMode="External"/><Relationship Id="rId15" Type="http://schemas.openxmlformats.org/officeDocument/2006/relationships/hyperlink" Target="https://prefeitura.sp.gov.br/web/saude/w/lapa-ganha-33%C2%AA-unidade-de-pronto-atendimento-da-capital" TargetMode="External"/><Relationship Id="rId16" Type="http://schemas.openxmlformats.org/officeDocument/2006/relationships/hyperlink" Target="https://www2.prefeitura.sp.gov.br/documents/d/saude/pms-2026-2029-2026-03-04-pdf" TargetMode="External"/><Relationship Id="rId17" Type="http://schemas.openxmlformats.org/officeDocument/2006/relationships/hyperlink" Target="https://prefeitura.sp.gov.br/web/saude/w/tabnet/6477" TargetMode="External"/><Relationship Id="rId18" Type="http://schemas.openxmlformats.org/officeDocument/2006/relationships/hyperlink" Target="https://www.scielo.br/j/physis/a/5ds5nkdt9BySrmsqqy3KQ6J/?lang=pt" TargetMode="External"/><Relationship Id="rId19" Type="http://schemas.openxmlformats.org/officeDocument/2006/relationships/hyperlink" Target="https://www.sccm.org/clinical-resources/guidelines/guidelines/surviving-sepsis-campaign-international-guidelines-for-management-of-sepsis-and-septic-shock-2026" TargetMode="External"/><Relationship Id="rId20" Type="http://schemas.openxmlformats.org/officeDocument/2006/relationships/hyperlink" Target="https://www.jacc.org/doi/10.1016/j.jacc.2024.11.009" TargetMode="External"/><Relationship Id="rId21" Type="http://schemas.openxmlformats.org/officeDocument/2006/relationships/hyperlink" Target="https://professional.heart.org/en/science-news/2026-guideline-for-the-early-management-of-patients-with-acute-ischemic-stroke" TargetMode="External"/><Relationship Id="rId22" Type="http://schemas.openxmlformats.org/officeDocument/2006/relationships/hyperlink" Target="https://academic.oup.com/eurheartj/article/42/36/3599/6358045" TargetMode="External"/><Relationship Id="rId23" Type="http://schemas.openxmlformats.org/officeDocument/2006/relationships/hyperlink" Target="https://www.escardio.org/guidelines/clinical-practice-guidelines/all-esc-practice-guidelines/elevated-blood-pressure-and-hypertension/" TargetMode="External"/><Relationship Id="rId24" Type="http://schemas.openxmlformats.org/officeDocument/2006/relationships/hyperlink" Target="https://professional.heart.org/en/science-news/2026-guideline-for-the-evaluation-and-management-of-acute-pulmonary-embolism-in-adults" TargetMode="External"/><Relationship Id="rId25" Type="http://schemas.openxmlformats.org/officeDocument/2006/relationships/hyperlink" Target="https://academic.oup.com/ajrccm/article/212/1/24/8435770" TargetMode="External"/><Relationship Id="rId26" Type="http://schemas.openxmlformats.org/officeDocument/2006/relationships/hyperlink" Target="https://goldcopd.org/2026-gold-report-and-pocket-guide/" TargetMode="External"/><Relationship Id="rId27" Type="http://schemas.openxmlformats.org/officeDocument/2006/relationships/hyperlink" Target="https://ginasthma.org/2026-gina-strategy-report/" TargetMode="External"/><Relationship Id="rId28" Type="http://schemas.openxmlformats.org/officeDocument/2006/relationships/hyperlink" Target="https://www.idsociety.org/~/link/bc125f1fa47a47b7913b884cd368e8a0.aspx" TargetMode="External"/><Relationship Id="rId29" Type="http://schemas.openxmlformats.org/officeDocument/2006/relationships/hyperlink" Target="https://www.nice.org.uk/guidance/NG240/chapter/recommendations" TargetMode="External"/><Relationship Id="rId30" Type="http://schemas.openxmlformats.org/officeDocument/2006/relationships/hyperlink" Target="https://www.nice.org.uk/guidance/ng148/chapter/Recommendations" TargetMode="External"/><Relationship Id="rId31" Type="http://schemas.openxmlformats.org/officeDocument/2006/relationships/hyperlink" Target="https://diabetesjournals.org/care/article/47/8/1257/156808/Hyperglycemic-Crises-in-Adults-With-Diabetes-A" TargetMode="External"/><Relationship Id="rId32" Type="http://schemas.openxmlformats.org/officeDocument/2006/relationships/hyperlink" Target="https://pubmed.ncbi.nlm.nih.gov/42127996/" TargetMode="External"/><Relationship Id="rId33" Type="http://schemas.openxmlformats.org/officeDocument/2006/relationships/hyperlink" Target="https://pubmed.ncbi.nlm.nih.gov/36735555/" TargetMode="External"/><Relationship Id="rId34" Type="http://schemas.openxmlformats.org/officeDocument/2006/relationships/hyperlink" Target="https://webfiles.gi.org/links/journals/AJG-Clinical-Guidelines-Highlights-Acute-Pancreatitis-2024-FINAL.pdf" TargetMode="External"/><Relationship Id="rId35" Type="http://schemas.openxmlformats.org/officeDocument/2006/relationships/hyperlink" Target="https://www.aasld.org/practice-guidelines/diagnosis-evaluation-and-management-ascites-spontaneous-bacterial-peritonitis" TargetMode="External"/><Relationship Id="rId36" Type="http://schemas.openxmlformats.org/officeDocument/2006/relationships/hyperlink" Target="https://doi.org/10.1001/jama.2023.12914" TargetMode="External"/><Relationship Id="rId37" Type="http://schemas.openxmlformats.org/officeDocument/2006/relationships/hyperlink" Target="https://doi.org/10.1001/jamasurg.2025.6218" TargetMode="External"/><Relationship Id="rId38" Type="http://schemas.openxmlformats.org/officeDocument/2006/relationships/hyperlink" Target="https://link.springer.com/article/10.1186/s13017-020-00336-x" TargetMode="External"/><Relationship Id="rId39" Type="http://schemas.openxmlformats.org/officeDocument/2006/relationships/hyperlink" Target="https://www.asge.org/home/resources/publications/guidelines/asge-guideline-on-the-management-of-cholangitis" TargetMode="External"/><Relationship Id="rId40" Type="http://schemas.openxmlformats.org/officeDocument/2006/relationships/hyperlink" Target="https://uroweb.org/guidelines/urolithiasis/chapter/guidelines" TargetMode="External"/><Relationship Id="rId41" Type="http://schemas.openxmlformats.org/officeDocument/2006/relationships/hyperlink" Target="https://pmc.ncbi.nlm.nih.gov/articles/PMC7206757/" TargetMode="External"/><Relationship Id="rId42" Type="http://schemas.openxmlformats.org/officeDocument/2006/relationships/hyperlink" Target="https://pmc.ncbi.nlm.nih.gov/articles/PMC5545868/" TargetMode="External"/><Relationship Id="rId43" Type="http://schemas.openxmlformats.org/officeDocument/2006/relationships/hyperlink" Target="https://www.nice.org.uk/guidance/cg124/chapter/recommendations" TargetMode="External"/><Relationship Id="rId44" Type="http://schemas.openxmlformats.org/officeDocument/2006/relationships/hyperlink" Target="https://www.nice.org.uk/guidance/ng217/chapter/7-Treating-status-epilepticus-repeated-or-cluster-seizures-and-prolonged-seizures" TargetMode="External"/><Relationship Id="rId45" Type="http://schemas.openxmlformats.org/officeDocument/2006/relationships/hyperlink" Target="https://www.nice.org.uk/guidance/cg103/chapter/Recommendations" TargetMode="External"/><Relationship Id="rId46" Type="http://schemas.openxmlformats.org/officeDocument/2006/relationships/hyperlink" Target="https://www.idsociety.org/practice-guideline/skin-and-soft-tissue-infections/" TargetMode="External"/><Relationship Id="rId47" Type="http://schemas.openxmlformats.org/officeDocument/2006/relationships/hyperlink" Target="https://professional.heart.org/en/science-news/2022-guideline-for-the-management-of-patients-with-spontaneous-intracerebral-hemorrhage" TargetMode="External"/><Relationship Id="rId48" Type="http://schemas.openxmlformats.org/officeDocument/2006/relationships/hyperlink" Target="https://cpr.heart.org/en/resuscitation-science/cpr-and-ecc-guidelines/adult-advanced-life-support/" TargetMode="External"/><Relationship Id="rId49" Type="http://schemas.openxmlformats.org/officeDocument/2006/relationships/hyperlink" Target="https://esvs.org/guideline/acute-limb-ischaemia/" TargetMode="External"/><Relationship Id="rId50" Type="http://schemas.openxmlformats.org/officeDocument/2006/relationships/hyperlink" Target="https://www.nice.org.uk/Guidance/cg97" TargetMode="External"/><Relationship Id="rId51" Type="http://schemas.openxmlformats.org/officeDocument/2006/relationships/hyperlink" Target="https://www.idsociety.org/practice-guideline/diabetic-foot-infections/" TargetMode="External"/><Relationship Id="rId52" Type="http://schemas.openxmlformats.org/officeDocument/2006/relationships/hyperlink" Target="https://sdcepdentalprescribing.nhs.scot/guidance/bacterial-infections/dental-abscess/" TargetMode="External"/><Relationship Id="rId53" Type="http://schemas.openxmlformats.org/officeDocument/2006/relationships/hyperlink" Target="https://www.idsociety.org/practice-guideline/infectious-diarrhea" TargetMode="External"/><Relationship Id="rId54" Type="http://schemas.openxmlformats.org/officeDocument/2006/relationships/hyperlink" Target="https://link.springer.com/article/10.1186/s13017-018-0185-2" TargetMode="External"/><Relationship Id="rId55" Type="http://schemas.openxmlformats.org/officeDocument/2006/relationships/hyperlink" Target="https://doi.org/10.2337/dc26-s016" TargetMode="External"/><Relationship Id="rId56" Type="http://schemas.openxmlformats.org/officeDocument/2006/relationships/hyperlink" Target="https://www.gov.br/saude/pt-br/centrais-de-conteudo/publicacoes/notas-tecnicas/2026/nota-tecnica-conjunta-no-87-2026-svsa-saps-saes-sesai-ms.pdf/view" TargetMode="External"/><Relationship Id="rId57" Type="http://schemas.openxmlformats.org/officeDocument/2006/relationships/hyperlink" Target="https://www.idsociety.org/practice-guideline/community-acquired-pneumonia-cap-in-adul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Planejamento do atendimento hospitalar Hospital Canaã</dc:title>
  <dc:subject>40 condições prioritárias e governança das primeiras 72 horas</dc:subject>
  <dc:creator>Instituto de Ciências Médicas Canaã</dc:creator>
  <cp:keywords>Hospital Canaã, UPA, internação, urgência, emergência, 72 horas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